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w:t>
      </w:r>
      <w:r>
        <w:rPr>
          <w:rFonts w:hint="eastAsia" w:ascii="Arial" w:hAnsi="Arial" w:cs="Arial"/>
          <w:b/>
          <w:sz w:val="24"/>
          <w:szCs w:val="24"/>
        </w:rPr>
        <w:t xml:space="preserve">                              R4-2402519</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eastAsia="zh-CN"/>
        </w:rPr>
      </w:pPr>
      <w:r>
        <w:rPr>
          <w:rFonts w:hint="eastAsia" w:ascii="Arial" w:hAnsi="Arial" w:cs="Arial"/>
          <w:b/>
          <w:sz w:val="24"/>
          <w:szCs w:val="24"/>
          <w:lang w:val="en-US" w:eastAsia="zh-CN"/>
        </w:rPr>
        <w:t>Athens</w:t>
      </w:r>
      <w:r>
        <w:rPr>
          <w:rFonts w:ascii="Arial" w:hAnsi="Arial" w:cs="Arial"/>
          <w:b/>
          <w:sz w:val="24"/>
          <w:szCs w:val="24"/>
        </w:rPr>
        <w:t xml:space="preserve">, </w:t>
      </w:r>
      <w:r>
        <w:rPr>
          <w:rFonts w:hint="eastAsia" w:ascii="Arial" w:hAnsi="Arial" w:cs="Arial"/>
          <w:b/>
          <w:sz w:val="24"/>
          <w:szCs w:val="24"/>
          <w:lang w:val="en-US" w:eastAsia="zh-CN"/>
        </w:rPr>
        <w:t>Greece</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Feb 26</w:t>
      </w:r>
      <w:r>
        <w:rPr>
          <w:rFonts w:ascii="Arial" w:hAnsi="Arial" w:cs="Arial"/>
          <w:b/>
          <w:sz w:val="24"/>
          <w:szCs w:val="24"/>
        </w:rPr>
        <w:t xml:space="preserve"> – </w:t>
      </w:r>
      <w:r>
        <w:rPr>
          <w:rFonts w:hint="eastAsia" w:ascii="Arial" w:hAnsi="Arial" w:cs="Arial"/>
          <w:b/>
          <w:sz w:val="24"/>
          <w:szCs w:val="24"/>
          <w:lang w:val="en-US" w:eastAsia="zh-CN"/>
        </w:rPr>
        <w:t>Mar</w:t>
      </w:r>
      <w:r>
        <w:rPr>
          <w:rFonts w:ascii="Arial" w:hAnsi="Arial" w:cs="Arial"/>
          <w:b/>
          <w:sz w:val="24"/>
          <w:szCs w:val="24"/>
        </w:rPr>
        <w:t xml:space="preserve"> </w:t>
      </w:r>
      <w:r>
        <w:rPr>
          <w:rFonts w:hint="eastAsia" w:ascii="Arial" w:hAnsi="Arial" w:cs="Arial"/>
          <w:b/>
          <w:sz w:val="24"/>
          <w:szCs w:val="24"/>
          <w:lang w:val="en-US" w:eastAsia="zh-CN"/>
        </w:rPr>
        <w:t>1</w:t>
      </w:r>
      <w:r>
        <w:rPr>
          <w:rFonts w:hint="eastAsia" w:ascii="Arial" w:hAnsi="Arial" w:cs="Arial"/>
          <w:b/>
          <w:sz w:val="24"/>
          <w:szCs w:val="24"/>
        </w:rPr>
        <w:t>, 202</w:t>
      </w:r>
      <w:r>
        <w:rPr>
          <w:rFonts w:hint="eastAsia" w:ascii="Arial" w:hAnsi="Arial" w:cs="Arial"/>
          <w:b/>
          <w:sz w:val="24"/>
          <w:szCs w:val="24"/>
          <w:lang w:val="en-US" w:eastAsia="zh-CN"/>
        </w:rPr>
        <w:t>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5.2.1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TxD applicability on NR PUCCH channel </w:t>
      </w:r>
      <w:r>
        <w:rPr>
          <w:rFonts w:hint="eastAsia" w:ascii="Arial" w:hAnsi="Arial" w:cs="Arial"/>
          <w:b/>
          <w:sz w:val="24"/>
          <w:szCs w:val="24"/>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cs="Times New Roman"/>
          <w:sz w:val="20"/>
          <w:szCs w:val="20"/>
          <w:lang w:val="en-US" w:eastAsia="zh-CN"/>
        </w:rPr>
        <w:t xml:space="preserve">UE TxD to further increase output power under the single port assumption was well discussed in the previous release and it was finally specified in Rel-17. In this contribution, we would like to share some further analysis especially from the field testing perspective for this UE TxD feature. </w:t>
      </w:r>
    </w:p>
    <w:p>
      <w:pPr>
        <w:pStyle w:val="58"/>
        <w:tabs>
          <w:tab w:val="left" w:pos="567"/>
          <w:tab w:val="clear" w:pos="1985"/>
        </w:tabs>
        <w:adjustRightInd w:val="0"/>
        <w:ind w:left="510" w:hanging="510"/>
      </w:pPr>
      <w:r>
        <w:rPr>
          <w:rFonts w:hint="eastAsia"/>
        </w:rPr>
        <w:t xml:space="preserve">Discussion </w:t>
      </w:r>
      <w:bookmarkStart w:id="1" w:name="OLE_LINK20"/>
      <w:bookmarkStart w:id="2" w:name="OLE_LINK10"/>
      <w:bookmarkStart w:id="3" w:name="OLE_LINK13"/>
      <w:bookmarkStart w:id="4" w:name="OLE_LINK14"/>
      <w:r>
        <w:rPr>
          <w:rFonts w:hint="eastAsia" w:eastAsia="Times New Roman"/>
        </w:rPr>
        <w:t xml:space="preserve"> </w:t>
      </w:r>
    </w:p>
    <w:p>
      <w:pPr>
        <w:keepNext w:val="0"/>
        <w:keepLines w:val="0"/>
        <w:pageBreakBefore w:val="0"/>
        <w:widowControl w:val="0"/>
        <w:kinsoku/>
        <w:wordWrap/>
        <w:overflowPunct/>
        <w:topLinePunct w:val="0"/>
        <w:autoSpaceDE/>
        <w:autoSpaceDN/>
        <w:bidi w:val="0"/>
        <w:adjustRightInd/>
        <w:snapToGrid/>
        <w:spacing w:line="260" w:lineRule="auto"/>
        <w:jc w:val="left"/>
        <w:textAlignment w:val="auto"/>
        <w:outlineLvl w:val="1"/>
        <w:rPr>
          <w:rFonts w:ascii="Arial" w:hAnsi="Arial" w:cs="Arial"/>
          <w:sz w:val="28"/>
          <w:szCs w:val="28"/>
        </w:rPr>
      </w:pPr>
      <w:r>
        <w:rPr>
          <w:rFonts w:hint="eastAsia" w:ascii="Arial" w:hAnsi="Arial" w:cs="Arial"/>
          <w:sz w:val="28"/>
          <w:szCs w:val="28"/>
          <w:lang w:val="en-US" w:eastAsia="zh-CN"/>
        </w:rPr>
        <w:t xml:space="preserve">2.1. </w:t>
      </w:r>
      <w:r>
        <w:rPr>
          <w:rFonts w:hint="eastAsia" w:ascii="Arial" w:hAnsi="Arial" w:cs="Arial"/>
          <w:sz w:val="28"/>
          <w:szCs w:val="28"/>
        </w:rPr>
        <w:t>Principle Analysis</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Style w:val="104"/>
          <w:rFonts w:hint="default"/>
          <w:lang w:val="en-US" w:eastAsia="zh-CN"/>
        </w:rPr>
      </w:pPr>
      <w:r>
        <w:rPr>
          <w:rStyle w:val="104"/>
          <w:rFonts w:hint="eastAsia"/>
          <w:lang w:val="en-US" w:eastAsia="zh-CN"/>
        </w:rPr>
        <w:t>First of all, TxD/CDD is introduced to avoid random phase superposition between channels in order to avoid causing reverse direction. However, there are some problems existing in PUCCH as far as we could see:</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Style w:val="104"/>
          <w:rFonts w:hint="eastAsia"/>
          <w:lang w:val="en-US" w:eastAsia="zh-CN"/>
        </w:rPr>
      </w:pPr>
      <w:r>
        <w:rPr>
          <w:rStyle w:val="104"/>
          <w:rFonts w:hint="eastAsia"/>
          <w:lang w:val="en-US" w:eastAsia="zh-CN"/>
        </w:rPr>
        <w:t xml:space="preserve">For example PUCCH </w:t>
      </w:r>
      <w:r>
        <w:rPr>
          <w:rStyle w:val="104"/>
          <w:rFonts w:hint="eastAsia"/>
        </w:rPr>
        <w:t>format0&amp;format1&amp;format4</w:t>
      </w:r>
      <w:r>
        <w:rPr>
          <w:rStyle w:val="104"/>
          <w:rFonts w:hint="eastAsia"/>
          <w:lang w:val="en-US" w:eastAsia="zh-CN"/>
        </w:rPr>
        <w:t>, i</w:t>
      </w:r>
      <w:r>
        <w:rPr>
          <w:rStyle w:val="104"/>
          <w:rFonts w:hint="eastAsia"/>
        </w:rPr>
        <w:t xml:space="preserve">n </w:t>
      </w:r>
      <w:r>
        <w:rPr>
          <w:rStyle w:val="104"/>
          <w:rFonts w:hint="eastAsia"/>
          <w:lang w:val="en-US" w:eastAsia="zh-CN"/>
        </w:rPr>
        <w:t>single</w:t>
      </w:r>
      <w:r>
        <w:rPr>
          <w:rStyle w:val="104"/>
          <w:rFonts w:hint="eastAsia"/>
        </w:rPr>
        <w:t xml:space="preserve"> RB, the phase rotation caused by 1/3 CP</w:t>
      </w:r>
      <w:r>
        <w:rPr>
          <w:rStyle w:val="104"/>
          <w:rFonts w:hint="eastAsia"/>
          <w:lang w:val="en-US" w:eastAsia="zh-CN"/>
        </w:rPr>
        <w:t xml:space="preserve"> cyclic timing shift</w:t>
      </w:r>
      <w:r>
        <w:rPr>
          <w:rStyle w:val="104"/>
          <w:rFonts w:hint="eastAsia"/>
        </w:rPr>
        <w:t xml:space="preserve"> is 144/3/2048*12≈0.28= 100 degrees.</w:t>
      </w:r>
      <w:r>
        <w:rPr>
          <w:rStyle w:val="104"/>
          <w:rFonts w:hint="eastAsia"/>
          <w:lang w:val="en-US" w:eastAsia="zh-CN"/>
        </w:rPr>
        <w:t xml:space="preserve"> In addition,</w:t>
      </w:r>
      <w:r>
        <w:rPr>
          <w:rStyle w:val="104"/>
          <w:rFonts w:hint="eastAsia"/>
        </w:rPr>
        <w:t xml:space="preserve"> </w:t>
      </w:r>
      <w:r>
        <w:rPr>
          <w:rStyle w:val="104"/>
          <w:rFonts w:hint="eastAsia"/>
          <w:lang w:val="en-US" w:eastAsia="zh-CN"/>
        </w:rPr>
        <w:t>i</w:t>
      </w:r>
      <w:r>
        <w:rPr>
          <w:rStyle w:val="104"/>
          <w:rFonts w:hint="eastAsia"/>
        </w:rPr>
        <w:t>n most cases, single-RB scheduling is used on PUCCHs, and 1/3 CP CDD is introduced to avoid reverse superposition.</w:t>
      </w:r>
      <w:r>
        <w:rPr>
          <w:rStyle w:val="104"/>
          <w:rFonts w:hint="eastAsia"/>
          <w:lang w:val="en-US" w:eastAsia="zh-CN"/>
        </w:rPr>
        <w:t xml:space="preserve"> </w:t>
      </w:r>
      <w:r>
        <w:rPr>
          <w:rStyle w:val="104"/>
          <w:rFonts w:hint="eastAsia"/>
        </w:rPr>
        <w:t xml:space="preserve">Theoretically, </w:t>
      </w:r>
      <w:r>
        <w:rPr>
          <w:rStyle w:val="104"/>
          <w:rFonts w:hint="eastAsia"/>
          <w:lang w:val="en-US" w:eastAsia="zh-CN"/>
        </w:rPr>
        <w:t>if we consider any phase difference between two antenna ports to verify the power gain of TxD</w:t>
      </w:r>
      <w:r>
        <w:rPr>
          <w:rStyle w:val="104"/>
          <w:rFonts w:hint="eastAsia"/>
        </w:rPr>
        <w:t xml:space="preserve">, </w:t>
      </w:r>
      <w:r>
        <w:rPr>
          <w:rStyle w:val="104"/>
          <w:rFonts w:hint="eastAsia"/>
          <w:lang w:val="en-US" w:eastAsia="zh-CN"/>
        </w:rPr>
        <w:t xml:space="preserve">then </w:t>
      </w:r>
      <w:r>
        <w:rPr>
          <w:rStyle w:val="104"/>
          <w:rFonts w:hint="eastAsia"/>
        </w:rPr>
        <w:t xml:space="preserve">the following figure shows the CDD gain of the two antennas compared with a single antenna. </w:t>
      </w:r>
      <w:r>
        <w:rPr>
          <w:rStyle w:val="104"/>
          <w:rFonts w:hint="eastAsia"/>
          <w:lang w:val="en-US" w:eastAsia="zh-CN"/>
        </w:rPr>
        <w:t xml:space="preserve">It indicates that </w:t>
      </w:r>
      <w:r>
        <w:rPr>
          <w:rStyle w:val="104"/>
          <w:rFonts w:hint="eastAsia"/>
        </w:rPr>
        <w:t>the CDD brings a negative gain</w:t>
      </w:r>
      <w:r>
        <w:rPr>
          <w:rStyle w:val="104"/>
          <w:rFonts w:hint="eastAsia"/>
          <w:lang w:val="en-US" w:eastAsia="zh-CN"/>
        </w:rPr>
        <w:t xml:space="preserve"> with</w:t>
      </w:r>
      <w:r>
        <w:rPr>
          <w:rStyle w:val="104"/>
          <w:rFonts w:hint="eastAsia"/>
        </w:rPr>
        <w:t xml:space="preserve"> 1/3 probability</w:t>
      </w:r>
      <w:r>
        <w:rPr>
          <w:rStyle w:val="104"/>
          <w:rFonts w:hint="eastAsia"/>
          <w:lang w:val="en-US" w:eastAsia="zh-CN"/>
        </w:rPr>
        <w:t>.</w:t>
      </w:r>
    </w:p>
    <w:p>
      <w:pPr>
        <w:spacing w:line="360" w:lineRule="auto"/>
        <w:jc w:val="center"/>
        <w:rPr>
          <w:rStyle w:val="104"/>
          <w:rFonts w:hint="default" w:hAnsi="Cambria Math"/>
          <w:b w:val="0"/>
          <w:i w:val="0"/>
        </w:rPr>
      </w:pPr>
      <w:r>
        <w:rPr>
          <w:rStyle w:val="104"/>
          <w:rFonts w:hint="default" w:hAnsi="Cambria Math"/>
          <w:b w:val="0"/>
          <w:i w:val="0"/>
        </w:rPr>
        <w:drawing>
          <wp:inline distT="0" distB="0" distL="114300" distR="114300">
            <wp:extent cx="5266690" cy="2633345"/>
            <wp:effectExtent l="0" t="0" r="0" b="0"/>
            <wp:docPr id="19" name="图片 19" descr="两天线不同角度下相比单天线的理论PS增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两天线不同角度下相比单天线的理论PS增益"/>
                    <pic:cNvPicPr>
                      <a:picLocks noChangeAspect="1"/>
                    </pic:cNvPicPr>
                  </pic:nvPicPr>
                  <pic:blipFill>
                    <a:blip r:embed="rId7"/>
                    <a:stretch>
                      <a:fillRect/>
                    </a:stretch>
                  </pic:blipFill>
                  <pic:spPr>
                    <a:xfrm>
                      <a:off x="0" y="0"/>
                      <a:ext cx="5266690" cy="2633345"/>
                    </a:xfrm>
                    <a:prstGeom prst="rect">
                      <a:avLst/>
                    </a:prstGeom>
                  </pic:spPr>
                </pic:pic>
              </a:graphicData>
            </a:graphic>
          </wp:inline>
        </w:drawing>
      </w:r>
    </w:p>
    <w:p>
      <w:pPr>
        <w:spacing w:line="360" w:lineRule="auto"/>
        <w:jc w:val="center"/>
        <w:rPr>
          <w:rStyle w:val="104"/>
          <w:rFonts w:hint="default" w:hAnsi="Cambria Math" w:eastAsia="宋体"/>
          <w:b w:val="0"/>
          <w:i w:val="0"/>
          <w:lang w:val="en-US" w:eastAsia="zh-CN"/>
        </w:rPr>
      </w:pPr>
      <w:r>
        <w:rPr>
          <w:rStyle w:val="104"/>
          <w:rFonts w:hint="eastAsia" w:hAnsi="Cambria Math"/>
          <w:b w:val="0"/>
          <w:i w:val="0"/>
          <w:lang w:val="en-US" w:eastAsia="zh-CN"/>
        </w:rPr>
        <w:t>Figure 2.1.1. Power gain vs phase difference for TxD/CDD</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Style w:val="104"/>
          <w:rFonts w:hint="default"/>
        </w:rPr>
      </w:pPr>
      <w:r>
        <w:rPr>
          <w:rStyle w:val="104"/>
          <w:rFonts w:hint="eastAsia"/>
        </w:rPr>
        <w:t xml:space="preserve">The CDD causes a larger variance of the receive power. The result is that the performance is not obviously improved or even the negative gain after the </w:t>
      </w:r>
      <w:r>
        <w:rPr>
          <w:rStyle w:val="104"/>
          <w:rFonts w:hint="eastAsia"/>
          <w:lang w:val="en-US" w:eastAsia="zh-CN"/>
        </w:rPr>
        <w:t xml:space="preserve">DTX </w:t>
      </w:r>
      <w:r>
        <w:rPr>
          <w:rStyle w:val="104"/>
          <w:rFonts w:hint="eastAsia"/>
        </w:rPr>
        <w:t>decision</w:t>
      </w:r>
      <w:r>
        <w:rPr>
          <w:rStyle w:val="104"/>
          <w:rFonts w:hint="eastAsia"/>
          <w:lang w:val="en-US" w:eastAsia="zh-CN"/>
        </w:rPr>
        <w:t xml:space="preserve"> with larger received power variance due to the CDD</w:t>
      </w:r>
      <w:r>
        <w:rPr>
          <w:rStyle w:val="104"/>
          <w:rFonts w:hint="eastAsia"/>
        </w:rPr>
        <w:t xml:space="preserve">. </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Style w:val="104"/>
          <w:rFonts w:hint="default"/>
        </w:rPr>
      </w:pPr>
      <w:r>
        <w:rPr>
          <w:rStyle w:val="104"/>
          <w:rFonts w:hint="eastAsia"/>
        </w:rPr>
        <w:t>In PUCCH format0</w:t>
      </w:r>
      <w:r>
        <w:rPr>
          <w:rStyle w:val="104"/>
          <w:rFonts w:hint="eastAsia"/>
          <w:lang w:val="en-US" w:eastAsia="zh-CN"/>
        </w:rPr>
        <w:t xml:space="preserve"> with cyclic shift </w:t>
      </w:r>
      <w:r>
        <w:rPr>
          <w:rStyle w:val="104"/>
          <w:rFonts w:hint="eastAsia"/>
        </w:rPr>
        <w:t>&amp;format1</w:t>
      </w:r>
      <w:r>
        <w:rPr>
          <w:rStyle w:val="104"/>
          <w:rFonts w:hint="eastAsia"/>
          <w:lang w:val="en-US" w:eastAsia="zh-CN"/>
        </w:rPr>
        <w:t xml:space="preserve"> with time domain OCC</w:t>
      </w:r>
      <w:r>
        <w:rPr>
          <w:rStyle w:val="104"/>
          <w:rFonts w:hint="eastAsia"/>
        </w:rPr>
        <w:t>&amp;format4</w:t>
      </w:r>
      <w:r>
        <w:rPr>
          <w:rStyle w:val="104"/>
          <w:rFonts w:hint="eastAsia"/>
          <w:lang w:val="en-US" w:eastAsia="zh-CN"/>
        </w:rPr>
        <w:t xml:space="preserve"> with freq domain OCC</w:t>
      </w:r>
      <w:r>
        <w:rPr>
          <w:rStyle w:val="104"/>
          <w:rFonts w:hint="eastAsia"/>
        </w:rPr>
        <w:t xml:space="preserve"> , the signals</w:t>
      </w:r>
      <w:r>
        <w:rPr>
          <w:rStyle w:val="104"/>
          <w:rFonts w:hint="eastAsia"/>
          <w:lang w:val="en-US" w:eastAsia="zh-CN"/>
        </w:rPr>
        <w:t xml:space="preserve"> non-orthogonality</w:t>
      </w:r>
      <w:r>
        <w:rPr>
          <w:rStyle w:val="104"/>
          <w:rFonts w:hint="eastAsia"/>
        </w:rPr>
        <w:t xml:space="preserve"> of CDD users</w:t>
      </w:r>
      <w:r>
        <w:rPr>
          <w:rStyle w:val="104"/>
          <w:rFonts w:hint="eastAsia"/>
          <w:lang w:val="en-US" w:eastAsia="zh-CN"/>
        </w:rPr>
        <w:t xml:space="preserve"> due to the different cyclic timing shift implementation</w:t>
      </w:r>
      <w:r>
        <w:rPr>
          <w:rStyle w:val="104"/>
          <w:rFonts w:hint="eastAsia"/>
        </w:rPr>
        <w:t xml:space="preserve"> may cause the noise floor to rise and affect the decoding and decision performance of other code division users. </w:t>
      </w:r>
    </w:p>
    <w:p>
      <w:pPr>
        <w:jc w:val="left"/>
        <w:outlineLvl w:val="1"/>
        <w:rPr>
          <w:rFonts w:hint="default" w:ascii="Arial" w:hAnsi="Arial" w:eastAsia="宋体" w:cs="Arial"/>
          <w:sz w:val="28"/>
          <w:szCs w:val="28"/>
          <w:lang w:val="en-US" w:eastAsia="zh-CN"/>
        </w:rPr>
      </w:pPr>
      <w:r>
        <w:rPr>
          <w:rFonts w:hint="eastAsia" w:ascii="Arial" w:hAnsi="Arial" w:eastAsia="宋体" w:cs="Arial"/>
          <w:sz w:val="28"/>
          <w:szCs w:val="28"/>
          <w:lang w:val="en-US" w:eastAsia="zh-CN"/>
        </w:rPr>
        <w:t>2.2. Simulation Result</w:t>
      </w:r>
    </w:p>
    <w:p>
      <w:pPr>
        <w:pStyle w:val="4"/>
        <w:keepNext/>
        <w:keepLines/>
        <w:pageBreakBefore w:val="0"/>
        <w:widowControl/>
        <w:tabs>
          <w:tab w:val="left" w:pos="425"/>
        </w:tabs>
        <w:kinsoku/>
        <w:wordWrap/>
        <w:overflowPunct/>
        <w:topLinePunct w:val="0"/>
        <w:autoSpaceDE/>
        <w:autoSpaceDN/>
        <w:bidi w:val="0"/>
        <w:adjustRightInd/>
        <w:snapToGrid/>
        <w:spacing w:line="360" w:lineRule="auto"/>
        <w:ind w:left="1134" w:hanging="1134"/>
        <w:textAlignment w:val="auto"/>
        <w:rPr>
          <w:rStyle w:val="104"/>
          <w:rFonts w:hint="default" w:ascii="Arial" w:hAnsi="Arial" w:cs="Arial"/>
          <w:b w:val="0"/>
          <w:bCs w:val="0"/>
          <w:lang w:val="en-US"/>
        </w:rPr>
      </w:pPr>
      <w:r>
        <w:rPr>
          <w:rFonts w:hint="default" w:ascii="Arial" w:hAnsi="Arial" w:cs="Arial"/>
          <w:b w:val="0"/>
          <w:bCs w:val="0"/>
          <w:sz w:val="24"/>
          <w:szCs w:val="24"/>
          <w:lang w:val="en-US" w:eastAsia="zh-CN"/>
        </w:rPr>
        <w:t>2.2.1.</w:t>
      </w:r>
      <w:r>
        <w:rPr>
          <w:rFonts w:hint="eastAsia" w:ascii="Arial" w:hAnsi="Arial" w:cs="Arial"/>
          <w:b w:val="0"/>
          <w:bCs w:val="0"/>
          <w:sz w:val="24"/>
          <w:szCs w:val="24"/>
          <w:lang w:val="en-US" w:eastAsia="zh-CN"/>
        </w:rPr>
        <w:t>The impacts on receiver power of CDD/TxD</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Style w:val="104"/>
          <w:rFonts w:hint="eastAsia"/>
          <w:lang w:val="en-US" w:eastAsia="zh-CN"/>
        </w:rPr>
      </w:pPr>
      <w:r>
        <w:rPr>
          <w:rStyle w:val="104"/>
          <w:rFonts w:hint="eastAsia"/>
        </w:rPr>
        <w:t xml:space="preserve">The following figure shows the </w:t>
      </w:r>
      <w:r>
        <w:rPr>
          <w:rStyle w:val="104"/>
          <w:rFonts w:hint="eastAsia"/>
          <w:lang w:val="en-US" w:eastAsia="zh-CN"/>
        </w:rPr>
        <w:t>CDF</w:t>
      </w:r>
      <w:r>
        <w:rPr>
          <w:rStyle w:val="104"/>
          <w:rFonts w:hint="eastAsia"/>
        </w:rPr>
        <w:t xml:space="preserve"> of measured PUCCH</w:t>
      </w:r>
      <w:r>
        <w:rPr>
          <w:rStyle w:val="104"/>
          <w:rFonts w:hint="eastAsia"/>
          <w:lang w:val="en-US" w:eastAsia="zh-CN"/>
        </w:rPr>
        <w:t xml:space="preserve"> signal with</w:t>
      </w:r>
      <w:r>
        <w:rPr>
          <w:rStyle w:val="104"/>
          <w:rFonts w:hint="eastAsia"/>
        </w:rPr>
        <w:t xml:space="preserve"> single antenna and different CDDs </w:t>
      </w:r>
      <w:r>
        <w:rPr>
          <w:rStyle w:val="104"/>
          <w:rFonts w:hint="eastAsia"/>
          <w:lang w:val="en-US" w:eastAsia="zh-CN"/>
        </w:rPr>
        <w:t>under the same transmission power assumption.</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Style w:val="104"/>
          <w:rFonts w:hint="eastAsia"/>
        </w:rPr>
      </w:pPr>
      <w:r>
        <w:rPr>
          <w:rStyle w:val="104"/>
          <w:rFonts w:hint="eastAsia"/>
        </w:rPr>
        <w:t xml:space="preserve"> The blue line indicates a single antenna user, and the purple line indicates a CDD (1/3 CP) user. The horizontal axis indicates the power measurement </w:t>
      </w:r>
      <w:r>
        <w:rPr>
          <w:rStyle w:val="104"/>
          <w:rFonts w:hint="eastAsia"/>
          <w:lang w:val="en-US" w:eastAsia="zh-CN"/>
        </w:rPr>
        <w:t xml:space="preserve">value scaled </w:t>
      </w:r>
      <w:r>
        <w:rPr>
          <w:rStyle w:val="104"/>
          <w:rFonts w:hint="eastAsia"/>
        </w:rPr>
        <w:t>at the receiv</w:t>
      </w:r>
      <w:r>
        <w:rPr>
          <w:rStyle w:val="104"/>
          <w:rFonts w:hint="eastAsia"/>
          <w:lang w:val="en-US" w:eastAsia="zh-CN"/>
        </w:rPr>
        <w:t>er</w:t>
      </w:r>
      <w:r>
        <w:rPr>
          <w:rStyle w:val="104"/>
          <w:rFonts w:hint="eastAsia"/>
        </w:rPr>
        <w:t>. The larger the value</w:t>
      </w:r>
      <w:r>
        <w:rPr>
          <w:rStyle w:val="104"/>
          <w:rFonts w:hint="eastAsia"/>
          <w:lang w:val="en-US" w:eastAsia="zh-CN"/>
        </w:rPr>
        <w:t xml:space="preserve"> indicates </w:t>
      </w:r>
      <w:r>
        <w:rPr>
          <w:rStyle w:val="104"/>
          <w:rFonts w:hint="eastAsia"/>
        </w:rPr>
        <w:t xml:space="preserve">the higher receiving power. The vertical axis indicates the </w:t>
      </w:r>
      <w:r>
        <w:rPr>
          <w:rStyle w:val="104"/>
          <w:rFonts w:hint="eastAsia"/>
          <w:lang w:val="en-US" w:eastAsia="zh-CN"/>
        </w:rPr>
        <w:t xml:space="preserve">CDF </w:t>
      </w:r>
      <w:r>
        <w:rPr>
          <w:rStyle w:val="104"/>
          <w:rFonts w:hint="eastAsia"/>
        </w:rPr>
        <w:t xml:space="preserve">distribution of the received power after the channel. </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Style w:val="104"/>
          <w:rFonts w:hint="default"/>
        </w:rPr>
      </w:pPr>
      <w:r>
        <w:rPr>
          <w:rStyle w:val="104"/>
          <w:rFonts w:hint="eastAsia"/>
        </w:rPr>
        <w:t>Comparing the blue line with the purple line</w:t>
      </w:r>
      <w:r>
        <w:rPr>
          <w:rStyle w:val="104"/>
          <w:rFonts w:hint="eastAsia"/>
          <w:lang w:val="en-US" w:eastAsia="zh-CN"/>
        </w:rPr>
        <w:t>, it could be found that</w:t>
      </w:r>
      <w:r>
        <w:rPr>
          <w:rStyle w:val="104"/>
          <w:rFonts w:hint="eastAsia"/>
        </w:rPr>
        <w:t xml:space="preserve"> CDD can increase the expected receive power, but also cause a larger </w:t>
      </w:r>
      <w:r>
        <w:rPr>
          <w:rStyle w:val="104"/>
          <w:rFonts w:hint="eastAsia"/>
          <w:lang w:val="en-US" w:eastAsia="zh-CN"/>
        </w:rPr>
        <w:t xml:space="preserve">received power </w:t>
      </w:r>
      <w:r>
        <w:rPr>
          <w:rStyle w:val="104"/>
          <w:rFonts w:hint="eastAsia"/>
        </w:rPr>
        <w:t>variance. Some sample points</w:t>
      </w:r>
      <w:r>
        <w:rPr>
          <w:rStyle w:val="104"/>
          <w:rFonts w:hint="eastAsia"/>
          <w:lang w:val="en-US" w:eastAsia="zh-CN"/>
        </w:rPr>
        <w:t xml:space="preserve"> of CDD users</w:t>
      </w:r>
      <w:r>
        <w:rPr>
          <w:rStyle w:val="104"/>
          <w:rFonts w:hint="default"/>
          <w:lang w:val="en-US" w:eastAsia="zh-CN"/>
        </w:rPr>
        <w:t>’</w:t>
      </w:r>
      <w:r>
        <w:rPr>
          <w:rStyle w:val="104"/>
          <w:rFonts w:hint="eastAsia"/>
          <w:lang w:val="en-US" w:eastAsia="zh-CN"/>
        </w:rPr>
        <w:t xml:space="preserve"> received power</w:t>
      </w:r>
      <w:r>
        <w:rPr>
          <w:rStyle w:val="104"/>
          <w:rFonts w:hint="eastAsia"/>
        </w:rPr>
        <w:t xml:space="preserve"> are</w:t>
      </w:r>
      <w:r>
        <w:rPr>
          <w:rStyle w:val="104"/>
          <w:rFonts w:hint="eastAsia"/>
          <w:lang w:val="en-US" w:eastAsia="zh-CN"/>
        </w:rPr>
        <w:t xml:space="preserve"> even </w:t>
      </w:r>
      <w:r>
        <w:rPr>
          <w:rStyle w:val="104"/>
          <w:rFonts w:hint="eastAsia"/>
        </w:rPr>
        <w:t>smaller than the minimum value measured by a single antenna</w:t>
      </w:r>
      <w:r>
        <w:rPr>
          <w:rStyle w:val="104"/>
          <w:rFonts w:hint="eastAsia"/>
          <w:lang w:val="en-US" w:eastAsia="zh-CN"/>
        </w:rPr>
        <w:t xml:space="preserve"> which will</w:t>
      </w:r>
      <w:r>
        <w:rPr>
          <w:rStyle w:val="104"/>
          <w:rFonts w:hint="eastAsia"/>
        </w:rPr>
        <w:t xml:space="preserve"> </w:t>
      </w:r>
      <w:r>
        <w:rPr>
          <w:rStyle w:val="104"/>
          <w:rFonts w:hint="eastAsia"/>
          <w:lang w:val="en-US" w:eastAsia="zh-CN"/>
        </w:rPr>
        <w:t xml:space="preserve">deteriorate </w:t>
      </w:r>
      <w:r>
        <w:rPr>
          <w:rStyle w:val="104"/>
          <w:rFonts w:hint="eastAsia"/>
        </w:rPr>
        <w:t>the 1% BLER(A/N 2 DTX</w:t>
      </w:r>
      <w:r>
        <w:rPr>
          <w:rStyle w:val="104"/>
          <w:rFonts w:hint="eastAsia"/>
          <w:lang w:val="en-US" w:eastAsia="zh-CN"/>
        </w:rPr>
        <w:t>, Miss detection</w:t>
      </w:r>
      <w:r>
        <w:rPr>
          <w:rStyle w:val="104"/>
          <w:rFonts w:hint="eastAsia"/>
        </w:rPr>
        <w:t>) or even 0.1 %</w:t>
      </w:r>
      <w:r>
        <w:rPr>
          <w:rStyle w:val="104"/>
          <w:rFonts w:hint="eastAsia"/>
          <w:lang w:val="en-US" w:eastAsia="zh-CN"/>
        </w:rPr>
        <w:t xml:space="preserve"> </w:t>
      </w:r>
      <w:r>
        <w:rPr>
          <w:rStyle w:val="104"/>
          <w:rFonts w:hint="eastAsia"/>
        </w:rPr>
        <w:t xml:space="preserve">BLER </w:t>
      </w:r>
      <w:r>
        <w:rPr>
          <w:rStyle w:val="104"/>
          <w:rFonts w:hint="eastAsia"/>
          <w:lang w:val="en-US" w:eastAsia="zh-CN"/>
        </w:rPr>
        <w:t xml:space="preserve">working </w:t>
      </w:r>
      <w:r>
        <w:rPr>
          <w:rStyle w:val="104"/>
          <w:rFonts w:hint="eastAsia"/>
        </w:rPr>
        <w:t xml:space="preserve">point of the PUCCH. </w:t>
      </w:r>
    </w:p>
    <w:p>
      <w:pPr>
        <w:spacing w:line="360" w:lineRule="auto"/>
        <w:jc w:val="center"/>
        <w:rPr>
          <w:rStyle w:val="104"/>
          <w:rFonts w:hint="eastAsia"/>
        </w:rPr>
      </w:pPr>
      <w:r>
        <w:rPr>
          <w:rStyle w:val="104"/>
          <w:rFonts w:hint="eastAsia"/>
        </w:rPr>
        <w:drawing>
          <wp:inline distT="0" distB="0" distL="114300" distR="114300">
            <wp:extent cx="5260975" cy="2985770"/>
            <wp:effectExtent l="0" t="0" r="15875" b="5080"/>
            <wp:docPr id="26" name="图片 26" descr="snr_-10.0_Received Power 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snr_-10.0_Received Power CDF"/>
                    <pic:cNvPicPr>
                      <a:picLocks noChangeAspect="1"/>
                    </pic:cNvPicPr>
                  </pic:nvPicPr>
                  <pic:blipFill>
                    <a:blip r:embed="rId8"/>
                    <a:stretch>
                      <a:fillRect/>
                    </a:stretch>
                  </pic:blipFill>
                  <pic:spPr>
                    <a:xfrm>
                      <a:off x="0" y="0"/>
                      <a:ext cx="5260975" cy="2985770"/>
                    </a:xfrm>
                    <a:prstGeom prst="rect">
                      <a:avLst/>
                    </a:prstGeom>
                  </pic:spPr>
                </pic:pic>
              </a:graphicData>
            </a:graphic>
          </wp:inline>
        </w:drawing>
      </w:r>
    </w:p>
    <w:p>
      <w:pPr>
        <w:spacing w:line="360" w:lineRule="auto"/>
        <w:jc w:val="center"/>
        <w:rPr>
          <w:rStyle w:val="104"/>
          <w:rFonts w:hint="default"/>
        </w:rPr>
      </w:pPr>
      <w:r>
        <w:rPr>
          <w:rStyle w:val="104"/>
          <w:rFonts w:hint="eastAsia" w:hAnsi="Cambria Math"/>
          <w:b w:val="0"/>
          <w:i w:val="0"/>
          <w:lang w:val="en-US" w:eastAsia="zh-CN"/>
        </w:rPr>
        <w:t>Figure 2.2.1. Power gain vs phase difference for TxD/CDD</w:t>
      </w:r>
    </w:p>
    <w:p>
      <w:pPr>
        <w:pStyle w:val="4"/>
        <w:keepNext/>
        <w:keepLines/>
        <w:pageBreakBefore w:val="0"/>
        <w:widowControl/>
        <w:tabs>
          <w:tab w:val="left" w:pos="425"/>
        </w:tabs>
        <w:kinsoku/>
        <w:wordWrap/>
        <w:overflowPunct/>
        <w:topLinePunct w:val="0"/>
        <w:autoSpaceDE/>
        <w:autoSpaceDN/>
        <w:bidi w:val="0"/>
        <w:adjustRightInd/>
        <w:snapToGrid/>
        <w:spacing w:line="360" w:lineRule="auto"/>
        <w:ind w:left="1134" w:hanging="1134"/>
        <w:textAlignment w:val="auto"/>
        <w:rPr>
          <w:rStyle w:val="104"/>
          <w:rFonts w:hint="default" w:ascii="Arial" w:hAnsi="Arial" w:cs="Arial"/>
          <w:b w:val="0"/>
          <w:bCs w:val="0"/>
          <w:lang w:val="en-US"/>
        </w:rPr>
      </w:pPr>
      <w:r>
        <w:rPr>
          <w:rFonts w:hint="default" w:ascii="Arial" w:hAnsi="Arial" w:cs="Arial"/>
          <w:b w:val="0"/>
          <w:bCs w:val="0"/>
          <w:sz w:val="24"/>
          <w:szCs w:val="24"/>
          <w:lang w:val="en-US" w:eastAsia="zh-CN"/>
        </w:rPr>
        <w:t>2.2.</w:t>
      </w:r>
      <w:r>
        <w:rPr>
          <w:rFonts w:hint="eastAsia" w:cs="Arial"/>
          <w:b w:val="0"/>
          <w:bCs w:val="0"/>
          <w:sz w:val="24"/>
          <w:szCs w:val="24"/>
          <w:lang w:val="en-US" w:eastAsia="zh-CN"/>
        </w:rPr>
        <w:t>2. Link level simulation results for CDD performance</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Style w:val="104"/>
          <w:rFonts w:hint="eastAsia"/>
        </w:rPr>
      </w:pPr>
      <w:r>
        <w:rPr>
          <w:rStyle w:val="104"/>
          <w:rFonts w:hint="eastAsia"/>
        </w:rPr>
        <w:t>Comparing CDD (1/3CP) with a single antenna:</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Style w:val="104"/>
          <w:rFonts w:hint="eastAsia"/>
        </w:rPr>
      </w:pPr>
      <w:r>
        <w:rPr>
          <w:rStyle w:val="104"/>
          <w:rFonts w:hint="eastAsia"/>
        </w:rPr>
        <w:t>-</w:t>
      </w:r>
      <w:r>
        <w:rPr>
          <w:rStyle w:val="104"/>
          <w:rFonts w:hint="eastAsia"/>
          <w:lang w:val="en-US" w:eastAsia="zh-CN"/>
        </w:rPr>
        <w:t xml:space="preserve"> </w:t>
      </w:r>
      <w:r>
        <w:rPr>
          <w:rStyle w:val="104"/>
          <w:rFonts w:hint="eastAsia"/>
        </w:rPr>
        <w:t>CDD</w:t>
      </w:r>
      <w:r>
        <w:rPr>
          <w:rStyle w:val="104"/>
          <w:rFonts w:hint="eastAsia"/>
          <w:lang w:val="en-US" w:eastAsia="zh-CN"/>
        </w:rPr>
        <w:t xml:space="preserve"> is </w:t>
      </w:r>
      <w:r>
        <w:rPr>
          <w:rStyle w:val="104"/>
          <w:rFonts w:hint="eastAsia"/>
        </w:rPr>
        <w:t xml:space="preserve">better than 1T with 10% BLER as the </w:t>
      </w:r>
      <w:r>
        <w:rPr>
          <w:rStyle w:val="104"/>
          <w:rFonts w:hint="eastAsia"/>
          <w:lang w:val="en-US" w:eastAsia="zh-CN"/>
        </w:rPr>
        <w:t xml:space="preserve">working </w:t>
      </w:r>
      <w:r>
        <w:rPr>
          <w:rStyle w:val="104"/>
          <w:rFonts w:hint="eastAsia"/>
        </w:rPr>
        <w:t xml:space="preserve">point. </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Style w:val="104"/>
          <w:rFonts w:hint="eastAsia"/>
        </w:rPr>
      </w:pPr>
      <w:r>
        <w:rPr>
          <w:rStyle w:val="104"/>
          <w:rFonts w:hint="eastAsia"/>
          <w:lang w:val="en-US" w:eastAsia="zh-CN"/>
        </w:rPr>
        <w:t xml:space="preserve">- </w:t>
      </w:r>
      <w:r>
        <w:rPr>
          <w:rStyle w:val="104"/>
          <w:rFonts w:hint="eastAsia"/>
        </w:rPr>
        <w:t>When 1% BLER is used as the working point: The CDD is worse than the 1T.</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Style w:val="104"/>
          <w:rFonts w:hint="eastAsia"/>
        </w:rPr>
      </w:pPr>
      <w:r>
        <w:rPr>
          <w:rStyle w:val="104"/>
          <w:rFonts w:hint="eastAsia"/>
        </w:rPr>
        <w:t>In commercial environments, the 1%</w:t>
      </w:r>
      <w:r>
        <w:rPr>
          <w:rStyle w:val="104"/>
          <w:rFonts w:hint="eastAsia"/>
          <w:lang w:val="en-US" w:eastAsia="zh-CN"/>
        </w:rPr>
        <w:t xml:space="preserve"> or less</w:t>
      </w:r>
      <w:r>
        <w:rPr>
          <w:rStyle w:val="104"/>
          <w:rFonts w:hint="eastAsia"/>
        </w:rPr>
        <w:t xml:space="preserve"> BLER/Miss detection </w:t>
      </w:r>
      <w:r>
        <w:rPr>
          <w:rStyle w:val="104"/>
          <w:rFonts w:hint="eastAsia"/>
          <w:lang w:val="en-US" w:eastAsia="zh-CN"/>
        </w:rPr>
        <w:t xml:space="preserve">points </w:t>
      </w:r>
      <w:r>
        <w:rPr>
          <w:rStyle w:val="104"/>
          <w:rFonts w:hint="eastAsia"/>
        </w:rPr>
        <w:t xml:space="preserve">is more concerned when DTX decision is enabled. In this scenario, after CDD is enabled, the gain is negative (marked in red in the table). </w:t>
      </w:r>
    </w:p>
    <w:tbl>
      <w:tblPr>
        <w:tblStyle w:val="26"/>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30"/>
        <w:gridCol w:w="1659"/>
        <w:gridCol w:w="1957"/>
        <w:gridCol w:w="2170"/>
        <w:gridCol w:w="27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kern w:val="0"/>
                <w:sz w:val="22"/>
                <w:u w:val="none"/>
              </w:rPr>
              <w:t>PUCCH format1 &amp; format3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7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kern w:val="0"/>
                <w:sz w:val="22"/>
                <w:u w:val="none"/>
              </w:rPr>
              <w:t>Work Point</w:t>
            </w:r>
            <w:r>
              <w:rPr>
                <w:rStyle w:val="104"/>
                <w:rFonts w:hint="default" w:ascii="Times New Roman" w:hAnsi="Times New Roman" w:cs="Times New Roman"/>
                <w:i w:val="0"/>
                <w:iCs w:val="0"/>
                <w:color w:val="000000"/>
                <w:kern w:val="0"/>
                <w:sz w:val="22"/>
                <w:u w:val="none"/>
              </w:rPr>
              <w:br w:type="textWrapping"/>
            </w:r>
            <w:r>
              <w:rPr>
                <w:rStyle w:val="104"/>
                <w:rFonts w:hint="default" w:ascii="Times New Roman" w:hAnsi="Times New Roman" w:cs="Times New Roman"/>
                <w:i w:val="0"/>
                <w:iCs w:val="0"/>
                <w:color w:val="000000"/>
                <w:kern w:val="0"/>
                <w:sz w:val="22"/>
                <w:u w:val="none"/>
              </w:rPr>
              <w:t>BLER</w:t>
            </w:r>
          </w:p>
        </w:tc>
        <w:tc>
          <w:tcPr>
            <w:tcW w:w="83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cs="Times New Roman"/>
                <w:i w:val="0"/>
                <w:iCs w:val="0"/>
                <w:color w:val="000000"/>
                <w:sz w:val="22"/>
                <w:u w:val="none"/>
              </w:rPr>
            </w:pPr>
            <w:r>
              <w:rPr>
                <w:rStyle w:val="104"/>
                <w:rFonts w:hint="default" w:ascii="Times New Roman" w:hAnsi="Times New Roman" w:cs="Times New Roman"/>
                <w:i w:val="0"/>
                <w:iCs w:val="0"/>
                <w:color w:val="000000"/>
                <w:sz w:val="22"/>
                <w:u w:val="none"/>
              </w:rPr>
              <w:t xml:space="preserve"> DTX</w:t>
            </w:r>
          </w:p>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eastAsia="宋体" w:cs="Times New Roman"/>
                <w:i w:val="0"/>
                <w:iCs w:val="0"/>
                <w:color w:val="000000"/>
                <w:sz w:val="22"/>
                <w:u w:val="none"/>
              </w:rPr>
              <w:t>detection</w:t>
            </w:r>
          </w:p>
        </w:tc>
        <w:tc>
          <w:tcPr>
            <w:tcW w:w="98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p>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sz w:val="22"/>
                <w:u w:val="none"/>
              </w:rPr>
              <w:t>Tansmission mode</w:t>
            </w:r>
          </w:p>
        </w:tc>
        <w:tc>
          <w:tcPr>
            <w:tcW w:w="246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kern w:val="0"/>
                <w:sz w:val="22"/>
                <w:u w:val="none"/>
              </w:rPr>
              <w:t>CDD(1/3 CP) Gain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7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Autospacing="0" w:line="360" w:lineRule="auto"/>
              <w:ind w:left="0" w:right="0"/>
              <w:jc w:val="center"/>
              <w:rPr>
                <w:rFonts w:hint="default" w:ascii="Times New Roman" w:hAnsi="Times New Roman" w:eastAsia="宋体" w:cs="Times New Roman"/>
                <w:i w:val="0"/>
                <w:iCs w:val="0"/>
                <w:color w:val="000000"/>
                <w:sz w:val="22"/>
                <w:u w:val="none"/>
              </w:rPr>
            </w:pP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line="360" w:lineRule="auto"/>
              <w:ind w:left="0" w:right="0"/>
              <w:jc w:val="center"/>
              <w:rPr>
                <w:rFonts w:hint="default" w:ascii="Times New Roman" w:hAnsi="Times New Roman" w:eastAsia="宋体" w:cs="Times New Roman"/>
                <w:i w:val="0"/>
                <w:iCs w:val="0"/>
                <w:color w:val="000000"/>
                <w:sz w:val="22"/>
                <w:u w:val="none"/>
              </w:rPr>
            </w:pPr>
          </w:p>
        </w:tc>
        <w:tc>
          <w:tcPr>
            <w:tcW w:w="9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line="360" w:lineRule="auto"/>
              <w:ind w:left="0" w:right="0"/>
              <w:jc w:val="center"/>
              <w:rPr>
                <w:rFonts w:hint="default" w:ascii="Times New Roman" w:hAnsi="Times New Roman" w:eastAsia="宋体" w:cs="Times New Roman"/>
                <w:i w:val="0"/>
                <w:iCs w:val="0"/>
                <w:color w:val="000000"/>
                <w:sz w:val="22"/>
                <w:u w:val="none"/>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kern w:val="0"/>
                <w:sz w:val="22"/>
                <w:u w:val="none"/>
              </w:rPr>
              <w:t>Format1</w:t>
            </w:r>
          </w:p>
        </w:tc>
        <w:tc>
          <w:tcPr>
            <w:tcW w:w="13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kern w:val="0"/>
                <w:sz w:val="22"/>
                <w:u w:val="none"/>
              </w:rPr>
              <w:t>Format3 (20 bit)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7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eastAsia="宋体" w:cs="Times New Roman"/>
                <w:i w:val="0"/>
                <w:iCs w:val="0"/>
                <w:color w:val="000000"/>
                <w:kern w:val="0"/>
                <w:sz w:val="22"/>
                <w:u w:val="none"/>
              </w:rPr>
              <w:t>1%</w:t>
            </w:r>
          </w:p>
        </w:tc>
        <w:tc>
          <w:tcPr>
            <w:tcW w:w="833" w:type="pct"/>
            <w:vMerge w:val="restart"/>
            <w:tcBorders>
              <w:top w:val="single" w:color="000000" w:sz="4" w:space="0"/>
              <w:left w:val="single" w:color="000000" w:sz="4" w:space="0"/>
              <w:bottom w:val="single" w:color="000000" w:sz="4" w:space="0"/>
              <w:right w:val="single" w:color="000000" w:sz="4" w:space="0"/>
            </w:tcBorders>
            <w:shd w:val="clear" w:color="auto" w:fill="F2F2F2"/>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kern w:val="0"/>
                <w:sz w:val="22"/>
                <w:u w:val="none"/>
              </w:rPr>
              <w:t>N</w:t>
            </w:r>
          </w:p>
        </w:tc>
        <w:tc>
          <w:tcPr>
            <w:tcW w:w="982"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eastAsia="宋体" w:cs="Times New Roman"/>
                <w:i w:val="0"/>
                <w:iCs w:val="0"/>
                <w:color w:val="000000"/>
                <w:kern w:val="0"/>
                <w:sz w:val="22"/>
                <w:u w:val="none"/>
              </w:rPr>
              <w:t>1</w:t>
            </w:r>
          </w:p>
        </w:tc>
        <w:tc>
          <w:tcPr>
            <w:tcW w:w="1089"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kern w:val="0"/>
                <w:sz w:val="22"/>
                <w:u w:val="none"/>
              </w:rPr>
              <w:t>baseline</w:t>
            </w:r>
          </w:p>
        </w:tc>
        <w:tc>
          <w:tcPr>
            <w:tcW w:w="1375"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sz w:val="22"/>
                <w:u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7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line="360" w:lineRule="auto"/>
              <w:ind w:left="0" w:right="0"/>
              <w:jc w:val="center"/>
              <w:rPr>
                <w:rFonts w:hint="default" w:ascii="Times New Roman" w:hAnsi="Times New Roman" w:eastAsia="宋体" w:cs="Times New Roman"/>
                <w:i w:val="0"/>
                <w:iCs w:val="0"/>
                <w:color w:val="000000"/>
                <w:sz w:val="22"/>
                <w:u w:val="none"/>
              </w:rPr>
            </w:pP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F2F2F2"/>
            <w:noWrap/>
            <w:vAlign w:val="center"/>
          </w:tcPr>
          <w:p>
            <w:pPr>
              <w:keepNext w:val="0"/>
              <w:keepLines w:val="0"/>
              <w:suppressLineNumbers w:val="0"/>
              <w:spacing w:before="0" w:beforeAutospacing="0" w:afterAutospacing="0" w:line="360" w:lineRule="auto"/>
              <w:ind w:left="0" w:right="0"/>
              <w:jc w:val="center"/>
              <w:rPr>
                <w:rFonts w:hint="default" w:ascii="Times New Roman" w:hAnsi="Times New Roman" w:eastAsia="宋体" w:cs="Times New Roman"/>
                <w:i w:val="0"/>
                <w:iCs w:val="0"/>
                <w:color w:val="000000"/>
                <w:sz w:val="22"/>
                <w:u w:val="none"/>
              </w:rPr>
            </w:pPr>
          </w:p>
        </w:tc>
        <w:tc>
          <w:tcPr>
            <w:tcW w:w="982"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sz w:val="22"/>
                <w:u w:val="none"/>
              </w:rPr>
              <w:t>CDD</w:t>
            </w:r>
          </w:p>
        </w:tc>
        <w:tc>
          <w:tcPr>
            <w:tcW w:w="1089"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kern w:val="0"/>
                <w:sz w:val="22"/>
                <w:u w:val="none"/>
              </w:rPr>
              <w:t>0.6dB</w:t>
            </w:r>
          </w:p>
        </w:tc>
        <w:tc>
          <w:tcPr>
            <w:tcW w:w="1375"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sz w:val="22"/>
                <w:u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7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line="360" w:lineRule="auto"/>
              <w:ind w:left="0" w:right="0"/>
              <w:jc w:val="center"/>
              <w:rPr>
                <w:rFonts w:hint="default" w:ascii="Times New Roman" w:hAnsi="Times New Roman" w:eastAsia="宋体" w:cs="Times New Roman"/>
                <w:i w:val="0"/>
                <w:iCs w:val="0"/>
                <w:color w:val="000000"/>
                <w:sz w:val="22"/>
                <w:u w:val="none"/>
              </w:rPr>
            </w:pPr>
          </w:p>
        </w:tc>
        <w:tc>
          <w:tcPr>
            <w:tcW w:w="833" w:type="pct"/>
            <w:vMerge w:val="restart"/>
            <w:tcBorders>
              <w:top w:val="single" w:color="000000" w:sz="4" w:space="0"/>
              <w:left w:val="single" w:color="000000" w:sz="4" w:space="0"/>
              <w:bottom w:val="single" w:color="000000" w:sz="4" w:space="0"/>
              <w:right w:val="single" w:color="000000" w:sz="4" w:space="0"/>
            </w:tcBorders>
            <w:shd w:val="clear" w:color="auto" w:fill="DDD9C4"/>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kern w:val="0"/>
                <w:sz w:val="22"/>
                <w:u w:val="none"/>
              </w:rPr>
              <w:t>Y</w:t>
            </w:r>
          </w:p>
        </w:tc>
        <w:tc>
          <w:tcPr>
            <w:tcW w:w="982" w:type="pct"/>
            <w:tcBorders>
              <w:top w:val="single" w:color="000000" w:sz="4" w:space="0"/>
              <w:left w:val="single" w:color="000000" w:sz="4" w:space="0"/>
              <w:bottom w:val="single" w:color="000000" w:sz="4" w:space="0"/>
              <w:right w:val="single" w:color="000000" w:sz="4" w:space="0"/>
            </w:tcBorders>
            <w:shd w:val="clear" w:color="auto" w:fill="DDD9C4"/>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eastAsia="宋体" w:cs="Times New Roman"/>
                <w:i w:val="0"/>
                <w:iCs w:val="0"/>
                <w:color w:val="000000"/>
                <w:kern w:val="0"/>
                <w:sz w:val="22"/>
                <w:u w:val="none"/>
              </w:rPr>
              <w:t>1</w:t>
            </w:r>
          </w:p>
        </w:tc>
        <w:tc>
          <w:tcPr>
            <w:tcW w:w="1089" w:type="pct"/>
            <w:tcBorders>
              <w:top w:val="single" w:color="000000" w:sz="4" w:space="0"/>
              <w:left w:val="single" w:color="000000" w:sz="4" w:space="0"/>
              <w:bottom w:val="single" w:color="000000" w:sz="4" w:space="0"/>
              <w:right w:val="single" w:color="000000" w:sz="4" w:space="0"/>
            </w:tcBorders>
            <w:shd w:val="clear" w:color="auto" w:fill="DDD9C4"/>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b/>
                <w:i w:val="0"/>
                <w:iCs w:val="0"/>
                <w:color w:val="000000"/>
                <w:sz w:val="22"/>
                <w:u w:val="none"/>
              </w:rPr>
            </w:pPr>
            <w:r>
              <w:rPr>
                <w:rStyle w:val="104"/>
                <w:rFonts w:hint="default" w:ascii="Times New Roman" w:hAnsi="Times New Roman" w:cs="Times New Roman"/>
                <w:i w:val="0"/>
                <w:iCs w:val="0"/>
                <w:color w:val="000000"/>
                <w:kern w:val="0"/>
                <w:sz w:val="22"/>
                <w:u w:val="none"/>
              </w:rPr>
              <w:t>baseline</w:t>
            </w:r>
          </w:p>
        </w:tc>
        <w:tc>
          <w:tcPr>
            <w:tcW w:w="1375" w:type="pct"/>
            <w:tcBorders>
              <w:top w:val="single" w:color="000000" w:sz="4" w:space="0"/>
              <w:left w:val="single" w:color="000000" w:sz="4" w:space="0"/>
              <w:bottom w:val="single" w:color="000000" w:sz="4" w:space="0"/>
              <w:right w:val="single" w:color="000000" w:sz="4" w:space="0"/>
            </w:tcBorders>
            <w:shd w:val="clear" w:color="auto" w:fill="DDD9C4"/>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b/>
                <w:i w:val="0"/>
                <w:iCs w:val="0"/>
                <w:color w:val="000000"/>
                <w:sz w:val="22"/>
                <w:u w:val="none"/>
              </w:rPr>
            </w:pPr>
            <w:r>
              <w:rPr>
                <w:rStyle w:val="104"/>
                <w:rFonts w:hint="default" w:ascii="Times New Roman" w:hAnsi="Times New Roman" w:cs="Times New Roman"/>
                <w:i w:val="0"/>
                <w:iCs w:val="0"/>
                <w:color w:val="000000"/>
                <w:kern w:val="0"/>
                <w:sz w:val="22"/>
                <w:u w:val="none"/>
              </w:rPr>
              <w:t>baseline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7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line="360" w:lineRule="auto"/>
              <w:ind w:left="0" w:right="0"/>
              <w:jc w:val="center"/>
              <w:rPr>
                <w:rFonts w:hint="default" w:ascii="Times New Roman" w:hAnsi="Times New Roman" w:eastAsia="宋体" w:cs="Times New Roman"/>
                <w:i w:val="0"/>
                <w:iCs w:val="0"/>
                <w:color w:val="000000"/>
                <w:sz w:val="22"/>
                <w:u w:val="none"/>
              </w:rPr>
            </w:pP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DDD9C4"/>
            <w:noWrap/>
            <w:vAlign w:val="center"/>
          </w:tcPr>
          <w:p>
            <w:pPr>
              <w:keepNext w:val="0"/>
              <w:keepLines w:val="0"/>
              <w:suppressLineNumbers w:val="0"/>
              <w:spacing w:before="0" w:beforeAutospacing="0" w:afterAutospacing="0" w:line="360" w:lineRule="auto"/>
              <w:ind w:left="0" w:right="0"/>
              <w:jc w:val="center"/>
              <w:rPr>
                <w:rFonts w:hint="default" w:ascii="Times New Roman" w:hAnsi="Times New Roman" w:eastAsia="宋体" w:cs="Times New Roman"/>
                <w:i w:val="0"/>
                <w:iCs w:val="0"/>
                <w:color w:val="000000"/>
                <w:sz w:val="22"/>
                <w:u w:val="none"/>
              </w:rPr>
            </w:pPr>
          </w:p>
        </w:tc>
        <w:tc>
          <w:tcPr>
            <w:tcW w:w="982" w:type="pct"/>
            <w:tcBorders>
              <w:top w:val="single" w:color="000000" w:sz="4" w:space="0"/>
              <w:left w:val="single" w:color="000000" w:sz="4" w:space="0"/>
              <w:bottom w:val="single" w:color="000000" w:sz="4" w:space="0"/>
              <w:right w:val="single" w:color="000000" w:sz="4" w:space="0"/>
            </w:tcBorders>
            <w:shd w:val="clear" w:color="auto" w:fill="DDD9C4"/>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kern w:val="0"/>
                <w:sz w:val="22"/>
                <w:u w:val="none"/>
              </w:rPr>
              <w:t>CDD</w:t>
            </w:r>
          </w:p>
        </w:tc>
        <w:tc>
          <w:tcPr>
            <w:tcW w:w="1089" w:type="pct"/>
            <w:tcBorders>
              <w:top w:val="single" w:color="000000" w:sz="4" w:space="0"/>
              <w:left w:val="single" w:color="000000" w:sz="4" w:space="0"/>
              <w:bottom w:val="single" w:color="000000" w:sz="4" w:space="0"/>
              <w:right w:val="single" w:color="000000" w:sz="4" w:space="0"/>
            </w:tcBorders>
            <w:shd w:val="clear" w:color="auto" w:fill="DDD9C4"/>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b/>
                <w:i w:val="0"/>
                <w:iCs w:val="0"/>
                <w:color w:val="FF0000"/>
                <w:sz w:val="22"/>
                <w:u w:val="none"/>
              </w:rPr>
            </w:pPr>
            <w:r>
              <w:rPr>
                <w:rStyle w:val="104"/>
                <w:rFonts w:hint="default" w:ascii="Times New Roman" w:hAnsi="Times New Roman" w:cs="Times New Roman"/>
                <w:b/>
                <w:i w:val="0"/>
                <w:iCs w:val="0"/>
                <w:color w:val="FF0000"/>
                <w:kern w:val="0"/>
                <w:sz w:val="22"/>
                <w:u w:val="none"/>
              </w:rPr>
              <w:t>-2.5dB</w:t>
            </w:r>
          </w:p>
        </w:tc>
        <w:tc>
          <w:tcPr>
            <w:tcW w:w="1375" w:type="pct"/>
            <w:tcBorders>
              <w:top w:val="single" w:color="000000" w:sz="4" w:space="0"/>
              <w:left w:val="single" w:color="000000" w:sz="4" w:space="0"/>
              <w:bottom w:val="single" w:color="000000" w:sz="4" w:space="0"/>
              <w:right w:val="single" w:color="000000" w:sz="4" w:space="0"/>
            </w:tcBorders>
            <w:shd w:val="clear" w:color="auto" w:fill="DDD9C4"/>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b/>
                <w:i w:val="0"/>
                <w:iCs w:val="0"/>
                <w:color w:val="FF0000"/>
                <w:sz w:val="22"/>
                <w:u w:val="none"/>
              </w:rPr>
            </w:pPr>
            <w:r>
              <w:rPr>
                <w:rStyle w:val="104"/>
                <w:rFonts w:hint="default" w:ascii="Times New Roman" w:hAnsi="Times New Roman" w:cs="Times New Roman"/>
                <w:b/>
                <w:i w:val="0"/>
                <w:iCs w:val="0"/>
                <w:color w:val="FF0000"/>
                <w:kern w:val="0"/>
                <w:sz w:val="22"/>
                <w:u w:val="none"/>
              </w:rPr>
              <w:t>-0.5dB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71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eastAsia="宋体" w:cs="Times New Roman"/>
                <w:i w:val="0"/>
                <w:iCs w:val="0"/>
                <w:color w:val="000000"/>
                <w:kern w:val="0"/>
                <w:sz w:val="22"/>
                <w:u w:val="none"/>
              </w:rPr>
              <w:t>10%</w:t>
            </w:r>
          </w:p>
        </w:tc>
        <w:tc>
          <w:tcPr>
            <w:tcW w:w="833" w:type="pct"/>
            <w:vMerge w:val="restart"/>
            <w:tcBorders>
              <w:top w:val="single" w:color="000000" w:sz="4" w:space="0"/>
              <w:left w:val="single" w:color="000000" w:sz="4" w:space="0"/>
              <w:bottom w:val="single" w:color="000000" w:sz="4" w:space="0"/>
              <w:right w:val="single" w:color="000000" w:sz="4" w:space="0"/>
            </w:tcBorders>
            <w:shd w:val="clear" w:color="auto" w:fill="F2F2F2"/>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kern w:val="0"/>
                <w:sz w:val="22"/>
                <w:u w:val="none"/>
              </w:rPr>
              <w:t>N</w:t>
            </w:r>
          </w:p>
        </w:tc>
        <w:tc>
          <w:tcPr>
            <w:tcW w:w="982"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eastAsia="宋体" w:cs="Times New Roman"/>
                <w:i w:val="0"/>
                <w:iCs w:val="0"/>
                <w:color w:val="000000"/>
                <w:kern w:val="0"/>
                <w:sz w:val="22"/>
                <w:u w:val="none"/>
              </w:rPr>
              <w:t>1</w:t>
            </w:r>
          </w:p>
        </w:tc>
        <w:tc>
          <w:tcPr>
            <w:tcW w:w="1089"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kern w:val="0"/>
                <w:sz w:val="22"/>
                <w:u w:val="none"/>
              </w:rPr>
              <w:t>baseline</w:t>
            </w:r>
          </w:p>
        </w:tc>
        <w:tc>
          <w:tcPr>
            <w:tcW w:w="1375"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sz w:val="22"/>
                <w:u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7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line="360" w:lineRule="auto"/>
              <w:ind w:left="0" w:right="0"/>
              <w:jc w:val="center"/>
              <w:rPr>
                <w:rFonts w:hint="default" w:ascii="Times New Roman" w:hAnsi="Times New Roman" w:eastAsia="宋体" w:cs="Times New Roman"/>
                <w:i w:val="0"/>
                <w:iCs w:val="0"/>
                <w:color w:val="000000"/>
                <w:sz w:val="22"/>
                <w:u w:val="none"/>
              </w:rPr>
            </w:pP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F2F2F2"/>
            <w:noWrap/>
            <w:vAlign w:val="center"/>
          </w:tcPr>
          <w:p>
            <w:pPr>
              <w:keepNext w:val="0"/>
              <w:keepLines w:val="0"/>
              <w:suppressLineNumbers w:val="0"/>
              <w:spacing w:before="0" w:beforeAutospacing="0" w:afterAutospacing="0" w:line="360" w:lineRule="auto"/>
              <w:ind w:left="0" w:right="0"/>
              <w:jc w:val="center"/>
              <w:rPr>
                <w:rFonts w:hint="default" w:ascii="Times New Roman" w:hAnsi="Times New Roman" w:eastAsia="宋体" w:cs="Times New Roman"/>
                <w:i w:val="0"/>
                <w:iCs w:val="0"/>
                <w:color w:val="000000"/>
                <w:sz w:val="22"/>
                <w:u w:val="none"/>
              </w:rPr>
            </w:pPr>
          </w:p>
        </w:tc>
        <w:tc>
          <w:tcPr>
            <w:tcW w:w="982"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sz w:val="22"/>
                <w:u w:val="none"/>
              </w:rPr>
              <w:t>CDD</w:t>
            </w:r>
          </w:p>
        </w:tc>
        <w:tc>
          <w:tcPr>
            <w:tcW w:w="1089"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kern w:val="0"/>
                <w:sz w:val="22"/>
                <w:u w:val="none"/>
              </w:rPr>
              <w:t>1.7dB</w:t>
            </w:r>
          </w:p>
        </w:tc>
        <w:tc>
          <w:tcPr>
            <w:tcW w:w="1375" w:type="pct"/>
            <w:tcBorders>
              <w:top w:val="single" w:color="000000" w:sz="4" w:space="0"/>
              <w:left w:val="single" w:color="000000" w:sz="4" w:space="0"/>
              <w:bottom w:val="single" w:color="000000" w:sz="4" w:space="0"/>
              <w:right w:val="single" w:color="000000" w:sz="4" w:space="0"/>
            </w:tcBorders>
            <w:shd w:val="clear" w:color="auto" w:fill="F2F2F2"/>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sz w:val="22"/>
                <w:u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7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line="360" w:lineRule="auto"/>
              <w:ind w:left="0" w:right="0"/>
              <w:jc w:val="center"/>
              <w:rPr>
                <w:rFonts w:hint="default" w:ascii="Times New Roman" w:hAnsi="Times New Roman" w:eastAsia="宋体" w:cs="Times New Roman"/>
                <w:i w:val="0"/>
                <w:iCs w:val="0"/>
                <w:color w:val="000000"/>
                <w:sz w:val="22"/>
                <w:u w:val="none"/>
              </w:rPr>
            </w:pPr>
          </w:p>
        </w:tc>
        <w:tc>
          <w:tcPr>
            <w:tcW w:w="833" w:type="pct"/>
            <w:vMerge w:val="restart"/>
            <w:tcBorders>
              <w:top w:val="single" w:color="000000" w:sz="4" w:space="0"/>
              <w:left w:val="single" w:color="000000" w:sz="4" w:space="0"/>
              <w:bottom w:val="single" w:color="000000" w:sz="4" w:space="0"/>
              <w:right w:val="single" w:color="000000" w:sz="4" w:space="0"/>
            </w:tcBorders>
            <w:shd w:val="clear" w:color="auto" w:fill="DDD9C4"/>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kern w:val="0"/>
                <w:sz w:val="22"/>
                <w:u w:val="none"/>
              </w:rPr>
              <w:t>Y</w:t>
            </w:r>
          </w:p>
        </w:tc>
        <w:tc>
          <w:tcPr>
            <w:tcW w:w="982" w:type="pct"/>
            <w:tcBorders>
              <w:top w:val="single" w:color="000000" w:sz="4" w:space="0"/>
              <w:left w:val="single" w:color="000000" w:sz="4" w:space="0"/>
              <w:bottom w:val="single" w:color="000000" w:sz="4" w:space="0"/>
              <w:right w:val="single" w:color="000000" w:sz="4" w:space="0"/>
            </w:tcBorders>
            <w:shd w:val="clear" w:color="auto" w:fill="DDD9C4"/>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eastAsia="宋体" w:cs="Times New Roman"/>
                <w:i w:val="0"/>
                <w:iCs w:val="0"/>
                <w:color w:val="000000"/>
                <w:kern w:val="0"/>
                <w:sz w:val="22"/>
                <w:u w:val="none"/>
              </w:rPr>
              <w:t>1</w:t>
            </w:r>
          </w:p>
        </w:tc>
        <w:tc>
          <w:tcPr>
            <w:tcW w:w="1089" w:type="pct"/>
            <w:tcBorders>
              <w:top w:val="single" w:color="000000" w:sz="4" w:space="0"/>
              <w:left w:val="single" w:color="000000" w:sz="4" w:space="0"/>
              <w:bottom w:val="single" w:color="000000" w:sz="4" w:space="0"/>
              <w:right w:val="single" w:color="000000" w:sz="4" w:space="0"/>
            </w:tcBorders>
            <w:shd w:val="clear" w:color="auto" w:fill="DDD9C4"/>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kern w:val="0"/>
                <w:sz w:val="22"/>
                <w:u w:val="none"/>
              </w:rPr>
              <w:t>baseline</w:t>
            </w:r>
          </w:p>
        </w:tc>
        <w:tc>
          <w:tcPr>
            <w:tcW w:w="1375" w:type="pct"/>
            <w:tcBorders>
              <w:top w:val="single" w:color="000000" w:sz="4" w:space="0"/>
              <w:left w:val="single" w:color="000000" w:sz="4" w:space="0"/>
              <w:bottom w:val="single" w:color="000000" w:sz="4" w:space="0"/>
              <w:right w:val="single" w:color="000000" w:sz="4" w:space="0"/>
            </w:tcBorders>
            <w:shd w:val="clear" w:color="auto" w:fill="DDD9C4"/>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kern w:val="0"/>
                <w:sz w:val="22"/>
                <w:u w:val="none"/>
              </w:rPr>
              <w:t>baseline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71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line="360" w:lineRule="auto"/>
              <w:ind w:left="0" w:right="0"/>
              <w:jc w:val="center"/>
              <w:rPr>
                <w:rFonts w:hint="default" w:ascii="Times New Roman" w:hAnsi="Times New Roman" w:eastAsia="宋体" w:cs="Times New Roman"/>
                <w:i w:val="0"/>
                <w:iCs w:val="0"/>
                <w:color w:val="000000"/>
                <w:sz w:val="22"/>
                <w:u w:val="none"/>
              </w:rPr>
            </w:pPr>
          </w:p>
        </w:tc>
        <w:tc>
          <w:tcPr>
            <w:tcW w:w="833" w:type="pct"/>
            <w:vMerge w:val="continue"/>
            <w:tcBorders>
              <w:top w:val="single" w:color="000000" w:sz="4" w:space="0"/>
              <w:left w:val="single" w:color="000000" w:sz="4" w:space="0"/>
              <w:bottom w:val="single" w:color="000000" w:sz="4" w:space="0"/>
              <w:right w:val="single" w:color="000000" w:sz="4" w:space="0"/>
            </w:tcBorders>
            <w:shd w:val="clear" w:color="auto" w:fill="DDD9C4"/>
            <w:noWrap/>
            <w:vAlign w:val="center"/>
          </w:tcPr>
          <w:p>
            <w:pPr>
              <w:keepNext w:val="0"/>
              <w:keepLines w:val="0"/>
              <w:suppressLineNumbers w:val="0"/>
              <w:spacing w:before="0" w:beforeAutospacing="0" w:afterAutospacing="0" w:line="360" w:lineRule="auto"/>
              <w:ind w:left="0" w:right="0"/>
              <w:jc w:val="center"/>
              <w:rPr>
                <w:rFonts w:hint="default" w:ascii="Times New Roman" w:hAnsi="Times New Roman" w:eastAsia="宋体" w:cs="Times New Roman"/>
                <w:i w:val="0"/>
                <w:iCs w:val="0"/>
                <w:color w:val="000000"/>
                <w:sz w:val="22"/>
                <w:u w:val="none"/>
              </w:rPr>
            </w:pPr>
          </w:p>
        </w:tc>
        <w:tc>
          <w:tcPr>
            <w:tcW w:w="982" w:type="pct"/>
            <w:tcBorders>
              <w:top w:val="single" w:color="000000" w:sz="4" w:space="0"/>
              <w:left w:val="single" w:color="000000" w:sz="4" w:space="0"/>
              <w:bottom w:val="single" w:color="000000" w:sz="4" w:space="0"/>
              <w:right w:val="single" w:color="000000" w:sz="4" w:space="0"/>
            </w:tcBorders>
            <w:shd w:val="clear" w:color="auto" w:fill="DDD9C4"/>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000000"/>
                <w:sz w:val="22"/>
                <w:u w:val="none"/>
              </w:rPr>
            </w:pPr>
            <w:r>
              <w:rPr>
                <w:rStyle w:val="104"/>
                <w:rFonts w:hint="default" w:ascii="Times New Roman" w:hAnsi="Times New Roman" w:cs="Times New Roman"/>
                <w:i w:val="0"/>
                <w:iCs w:val="0"/>
                <w:color w:val="000000"/>
                <w:sz w:val="22"/>
                <w:u w:val="none"/>
              </w:rPr>
              <w:t>CDD</w:t>
            </w:r>
          </w:p>
        </w:tc>
        <w:tc>
          <w:tcPr>
            <w:tcW w:w="1089" w:type="pct"/>
            <w:tcBorders>
              <w:top w:val="single" w:color="000000" w:sz="4" w:space="0"/>
              <w:left w:val="single" w:color="000000" w:sz="4" w:space="0"/>
              <w:bottom w:val="single" w:color="000000" w:sz="4" w:space="0"/>
              <w:right w:val="single" w:color="000000" w:sz="4" w:space="0"/>
            </w:tcBorders>
            <w:shd w:val="clear" w:color="auto" w:fill="DDD9C4"/>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auto"/>
                <w:sz w:val="22"/>
                <w:u w:val="none"/>
              </w:rPr>
            </w:pPr>
            <w:r>
              <w:rPr>
                <w:rStyle w:val="104"/>
                <w:rFonts w:hint="default" w:ascii="Times New Roman" w:hAnsi="Times New Roman" w:cs="Times New Roman"/>
                <w:i w:val="0"/>
                <w:iCs w:val="0"/>
                <w:color w:val="auto"/>
                <w:kern w:val="0"/>
                <w:sz w:val="22"/>
                <w:u w:val="none"/>
              </w:rPr>
              <w:t>1dB</w:t>
            </w:r>
          </w:p>
        </w:tc>
        <w:tc>
          <w:tcPr>
            <w:tcW w:w="1375" w:type="pct"/>
            <w:tcBorders>
              <w:top w:val="single" w:color="000000" w:sz="4" w:space="0"/>
              <w:left w:val="single" w:color="000000" w:sz="4" w:space="0"/>
              <w:bottom w:val="single" w:color="000000" w:sz="4" w:space="0"/>
              <w:right w:val="single" w:color="000000" w:sz="4" w:space="0"/>
            </w:tcBorders>
            <w:shd w:val="clear" w:color="auto" w:fill="DDD9C4"/>
            <w:noWrap/>
            <w:vAlign w:val="center"/>
          </w:tcPr>
          <w:p>
            <w:pPr>
              <w:keepNext w:val="0"/>
              <w:keepLines w:val="0"/>
              <w:widowControl/>
              <w:suppressLineNumbers w:val="0"/>
              <w:spacing w:before="0" w:beforeAutospacing="0" w:afterAutospacing="0" w:line="360" w:lineRule="auto"/>
              <w:ind w:left="0" w:right="0"/>
              <w:jc w:val="center"/>
              <w:textAlignment w:val="center"/>
              <w:rPr>
                <w:rFonts w:hint="default" w:ascii="Times New Roman" w:hAnsi="Times New Roman" w:eastAsia="宋体" w:cs="Times New Roman"/>
                <w:i w:val="0"/>
                <w:iCs w:val="0"/>
                <w:color w:val="auto"/>
                <w:sz w:val="22"/>
                <w:u w:val="none"/>
              </w:rPr>
            </w:pPr>
            <w:r>
              <w:rPr>
                <w:rStyle w:val="104"/>
                <w:rFonts w:hint="default" w:ascii="Times New Roman" w:hAnsi="Times New Roman" w:cs="Times New Roman"/>
                <w:i w:val="0"/>
                <w:iCs w:val="0"/>
                <w:color w:val="auto"/>
                <w:kern w:val="0"/>
                <w:sz w:val="22"/>
                <w:u w:val="none"/>
              </w:rPr>
              <w:t>1dB</w:t>
            </w:r>
          </w:p>
        </w:tc>
      </w:tr>
    </w:tbl>
    <w:p>
      <w:pPr>
        <w:keepNext w:val="0"/>
        <w:keepLines w:val="0"/>
        <w:pageBreakBefore w:val="0"/>
        <w:widowControl w:val="0"/>
        <w:kinsoku/>
        <w:wordWrap/>
        <w:overflowPunct/>
        <w:topLinePunct w:val="0"/>
        <w:autoSpaceDE/>
        <w:autoSpaceDN/>
        <w:bidi w:val="0"/>
        <w:adjustRightInd/>
        <w:snapToGrid/>
        <w:spacing w:after="0" w:line="240" w:lineRule="auto"/>
        <w:textAlignment w:val="auto"/>
        <w:rPr>
          <w:rStyle w:val="104"/>
          <w:rFonts w:hint="eastAsia"/>
        </w:rPr>
      </w:pPr>
      <w:r>
        <w:rPr>
          <w:rStyle w:val="104"/>
          <w:rFonts w:hint="eastAsia"/>
        </w:rPr>
        <w:t xml:space="preserve">Note: The simulation result </w:t>
      </w:r>
      <w:r>
        <w:rPr>
          <w:rStyle w:val="104"/>
          <w:rFonts w:hint="eastAsia"/>
          <w:lang w:val="en-US" w:eastAsia="zh-CN"/>
        </w:rPr>
        <w:t xml:space="preserve">is under: </w:t>
      </w:r>
      <w:r>
        <w:rPr>
          <w:rStyle w:val="104"/>
          <w:rFonts w:hint="eastAsia"/>
        </w:rPr>
        <w:t xml:space="preserve">AWGN channel, initial </w:t>
      </w:r>
      <w:r>
        <w:rPr>
          <w:rStyle w:val="104"/>
          <w:rFonts w:hint="eastAsia"/>
          <w:lang w:val="en-US" w:eastAsia="zh-CN"/>
        </w:rPr>
        <w:t>phase between 2 Tx</w:t>
      </w:r>
      <w:r>
        <w:rPr>
          <w:rStyle w:val="104"/>
          <w:rFonts w:hint="eastAsia"/>
        </w:rPr>
        <w:t xml:space="preserve"> chang</w:t>
      </w:r>
      <w:r>
        <w:rPr>
          <w:rStyle w:val="104"/>
          <w:rFonts w:hint="eastAsia"/>
          <w:lang w:val="en-US" w:eastAsia="zh-CN"/>
        </w:rPr>
        <w:t>ing</w:t>
      </w:r>
      <w:r>
        <w:rPr>
          <w:rStyle w:val="104"/>
          <w:rFonts w:hint="eastAsia"/>
        </w:rPr>
        <w:t xml:space="preserve"> randomly, and only one user. If there </w:t>
      </w:r>
      <w:r>
        <w:rPr>
          <w:rStyle w:val="104"/>
          <w:rFonts w:hint="eastAsia"/>
          <w:lang w:val="en-US" w:eastAsia="zh-CN"/>
        </w:rPr>
        <w:t>are multiple users with OCC or CS between different users</w:t>
      </w:r>
      <w:r>
        <w:rPr>
          <w:rStyle w:val="104"/>
          <w:rFonts w:hint="eastAsia"/>
        </w:rPr>
        <w:t xml:space="preserve">, the performance will be </w:t>
      </w:r>
      <w:r>
        <w:rPr>
          <w:rStyle w:val="104"/>
          <w:rFonts w:hint="eastAsia"/>
          <w:lang w:val="en-US" w:eastAsia="zh-CN"/>
        </w:rPr>
        <w:t xml:space="preserve">further </w:t>
      </w:r>
      <w:r>
        <w:rPr>
          <w:rStyle w:val="104"/>
          <w:rFonts w:hint="eastAsia"/>
        </w:rPr>
        <w:t xml:space="preserve">deteriorated. </w:t>
      </w:r>
    </w:p>
    <w:p>
      <w:pPr>
        <w:pStyle w:val="4"/>
        <w:keepNext/>
        <w:keepLines/>
        <w:pageBreakBefore w:val="0"/>
        <w:widowControl/>
        <w:tabs>
          <w:tab w:val="left" w:pos="425"/>
        </w:tabs>
        <w:kinsoku/>
        <w:wordWrap/>
        <w:overflowPunct/>
        <w:topLinePunct w:val="0"/>
        <w:autoSpaceDE/>
        <w:autoSpaceDN/>
        <w:bidi w:val="0"/>
        <w:adjustRightInd/>
        <w:snapToGrid/>
        <w:spacing w:line="360" w:lineRule="auto"/>
        <w:ind w:left="1134" w:hanging="1134"/>
        <w:textAlignment w:val="auto"/>
        <w:rPr>
          <w:rFonts w:hint="default" w:ascii="Arial" w:hAnsi="Arial" w:cs="Arial"/>
          <w:b w:val="0"/>
          <w:bCs w:val="0"/>
          <w:lang w:val="en-US" w:eastAsia="zh-CN"/>
        </w:rPr>
      </w:pPr>
      <w:r>
        <w:rPr>
          <w:rFonts w:hint="eastAsia" w:cs="Arial"/>
          <w:b w:val="0"/>
          <w:bCs w:val="0"/>
          <w:lang w:val="en-US" w:eastAsia="zh-CN"/>
        </w:rPr>
        <w:t xml:space="preserve">2.2.3. </w:t>
      </w:r>
      <w:r>
        <w:rPr>
          <w:rFonts w:hint="eastAsia" w:ascii="Arial" w:hAnsi="Arial" w:cs="Arial"/>
          <w:b w:val="0"/>
          <w:bCs w:val="0"/>
          <w:lang w:val="en-US" w:eastAsia="zh-CN"/>
        </w:rPr>
        <w:t xml:space="preserve">Inter-user Interference </w:t>
      </w:r>
      <w:r>
        <w:rPr>
          <w:rFonts w:hint="eastAsia" w:cs="Arial"/>
          <w:b w:val="0"/>
          <w:bCs w:val="0"/>
          <w:lang w:val="en-US" w:eastAsia="zh-CN"/>
        </w:rPr>
        <w:t>c</w:t>
      </w:r>
      <w:r>
        <w:rPr>
          <w:rFonts w:hint="eastAsia" w:ascii="Arial" w:hAnsi="Arial" w:cs="Arial"/>
          <w:b w:val="0"/>
          <w:bCs w:val="0"/>
          <w:lang w:val="en-US" w:eastAsia="zh-CN"/>
        </w:rPr>
        <w:t xml:space="preserve">aused by CDD UE </w:t>
      </w:r>
      <w:r>
        <w:rPr>
          <w:rFonts w:hint="eastAsia" w:cs="Arial"/>
          <w:b w:val="0"/>
          <w:bCs w:val="0"/>
          <w:lang w:val="en-US" w:eastAsia="zh-CN"/>
        </w:rPr>
        <w:t>non-orthogonality</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hint="default" w:eastAsia="宋体"/>
          <w:lang w:val="en-US" w:eastAsia="zh-CN"/>
        </w:rPr>
      </w:pPr>
      <w:r>
        <w:rPr>
          <w:rStyle w:val="104"/>
          <w:rFonts w:hint="eastAsia"/>
        </w:rPr>
        <w:t xml:space="preserve">We collected the </w:t>
      </w:r>
      <w:r>
        <w:rPr>
          <w:rStyle w:val="104"/>
          <w:rFonts w:hint="eastAsia"/>
          <w:lang w:val="en-US" w:eastAsia="zh-CN"/>
        </w:rPr>
        <w:t>NIs (Noise and Interference)</w:t>
      </w:r>
      <w:r>
        <w:rPr>
          <w:rStyle w:val="104"/>
          <w:rFonts w:hint="eastAsia"/>
        </w:rPr>
        <w:t xml:space="preserve"> of CDDs (1/3 CP) with different </w:t>
      </w:r>
      <w:r>
        <w:rPr>
          <w:rStyle w:val="104"/>
          <w:rFonts w:hint="eastAsia"/>
          <w:lang w:val="en-US" w:eastAsia="zh-CN"/>
        </w:rPr>
        <w:t xml:space="preserve">received </w:t>
      </w:r>
      <w:r>
        <w:rPr>
          <w:rStyle w:val="104"/>
          <w:rFonts w:hint="eastAsia"/>
        </w:rPr>
        <w:t>power and different numbers of code division users on the PUCCH Format</w:t>
      </w:r>
      <w:r>
        <w:rPr>
          <w:rStyle w:val="104"/>
          <w:rFonts w:hint="eastAsia"/>
          <w:lang w:val="en-US" w:eastAsia="zh-CN"/>
        </w:rPr>
        <w:t>&amp;</w:t>
      </w:r>
      <w:r>
        <w:rPr>
          <w:rStyle w:val="104"/>
          <w:rFonts w:hint="eastAsia"/>
        </w:rPr>
        <w:t xml:space="preserve">1. </w:t>
      </w:r>
      <w:r>
        <w:rPr>
          <w:rStyle w:val="104"/>
          <w:rFonts w:hint="eastAsia"/>
          <w:lang w:val="en-US" w:eastAsia="zh-CN"/>
        </w:rPr>
        <w:t>It could be found that:</w:t>
      </w:r>
    </w:p>
    <w:p>
      <w:pPr>
        <w:keepNext w:val="0"/>
        <w:keepLines w:val="0"/>
        <w:pageBreakBefore w:val="0"/>
        <w:widowControl w:val="0"/>
        <w:numPr>
          <w:ilvl w:val="0"/>
          <w:numId w:val="2"/>
        </w:numPr>
        <w:kinsoku/>
        <w:wordWrap/>
        <w:overflowPunct/>
        <w:topLinePunct w:val="0"/>
        <w:autoSpaceDE/>
        <w:autoSpaceDN/>
        <w:bidi w:val="0"/>
        <w:adjustRightInd/>
        <w:snapToGrid/>
        <w:spacing w:after="0" w:line="240" w:lineRule="auto"/>
        <w:ind w:left="420" w:leftChars="0" w:hanging="420" w:firstLineChars="0"/>
        <w:textAlignment w:val="auto"/>
        <w:rPr>
          <w:rFonts w:hint="default"/>
        </w:rPr>
      </w:pPr>
      <w:r>
        <w:rPr>
          <w:rStyle w:val="104"/>
          <w:rFonts w:hint="eastAsia"/>
        </w:rPr>
        <w:t>The larger the received signal power is, the more seriously the NI is increased due to the power leakage</w:t>
      </w:r>
      <w:r>
        <w:rPr>
          <w:rStyle w:val="104"/>
          <w:rFonts w:hint="eastAsia"/>
          <w:lang w:val="en-US" w:eastAsia="zh-CN"/>
        </w:rPr>
        <w:t>/non-orthogonality</w:t>
      </w:r>
      <w:r>
        <w:rPr>
          <w:rStyle w:val="104"/>
          <w:rFonts w:hint="eastAsia"/>
        </w:rPr>
        <w:t xml:space="preserve"> of CDD users. </w:t>
      </w:r>
    </w:p>
    <w:p>
      <w:pPr>
        <w:keepNext w:val="0"/>
        <w:keepLines w:val="0"/>
        <w:pageBreakBefore w:val="0"/>
        <w:widowControl w:val="0"/>
        <w:numPr>
          <w:ilvl w:val="0"/>
          <w:numId w:val="2"/>
        </w:numPr>
        <w:kinsoku/>
        <w:wordWrap/>
        <w:overflowPunct/>
        <w:topLinePunct w:val="0"/>
        <w:autoSpaceDE/>
        <w:autoSpaceDN/>
        <w:bidi w:val="0"/>
        <w:adjustRightInd/>
        <w:snapToGrid/>
        <w:spacing w:after="0" w:line="240" w:lineRule="auto"/>
        <w:ind w:left="420" w:leftChars="0" w:hanging="420" w:firstLineChars="0"/>
        <w:textAlignment w:val="auto"/>
        <w:rPr>
          <w:rFonts w:hint="eastAsia"/>
        </w:rPr>
      </w:pPr>
      <w:r>
        <w:rPr>
          <w:rStyle w:val="104"/>
          <w:rFonts w:hint="eastAsia"/>
        </w:rPr>
        <w:t xml:space="preserve">The larger the number of CDD users is, the more seriously the NI is increased due to the power leakage of CDD users. </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hint="default" w:hAnsi="Cambria Math"/>
          <w:b w:val="0"/>
          <w:i w:val="0"/>
        </w:rPr>
      </w:pPr>
      <w:r>
        <w:rPr>
          <w:rStyle w:val="104"/>
          <w:rFonts w:hint="eastAsia"/>
        </w:rPr>
        <w:t xml:space="preserve">In conclusion, CDD may cause the NI of code division RBs to deteriorate, and affect the decoding and decision performance of </w:t>
      </w:r>
      <w:r>
        <w:rPr>
          <w:rStyle w:val="104"/>
          <w:rFonts w:hint="eastAsia"/>
          <w:lang w:val="en-US" w:eastAsia="zh-CN"/>
        </w:rPr>
        <w:t xml:space="preserve">all </w:t>
      </w:r>
      <w:r>
        <w:rPr>
          <w:rStyle w:val="104"/>
          <w:rFonts w:hint="eastAsia"/>
        </w:rPr>
        <w:t xml:space="preserve">users in the code division system.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104"/>
          <w:rFonts w:hint="default"/>
        </w:rPr>
      </w:pPr>
      <w:r>
        <w:rPr>
          <w:rStyle w:val="104"/>
          <w:rFonts w:hint="default"/>
        </w:rPr>
        <w:drawing>
          <wp:inline distT="0" distB="0" distL="114300" distR="114300">
            <wp:extent cx="5266690" cy="3160395"/>
            <wp:effectExtent l="0" t="0" r="0" b="0"/>
            <wp:docPr id="21" name="图片 21" descr="全1信道下不同码分用户数和不同SNR的CDD场景PNI测量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全1信道下不同码分用户数和不同SNR的CDD场景PNI测量值"/>
                    <pic:cNvPicPr>
                      <a:picLocks noChangeAspect="1"/>
                    </pic:cNvPicPr>
                  </pic:nvPicPr>
                  <pic:blipFill>
                    <a:blip r:embed="rId9"/>
                    <a:stretch>
                      <a:fillRect/>
                    </a:stretch>
                  </pic:blipFill>
                  <pic:spPr>
                    <a:xfrm>
                      <a:off x="0" y="0"/>
                      <a:ext cx="5266690" cy="316039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104"/>
          <w:rFonts w:hint="default"/>
          <w:lang w:val="en-US"/>
        </w:rPr>
      </w:pPr>
      <w:r>
        <w:rPr>
          <w:rStyle w:val="104"/>
          <w:rFonts w:hint="eastAsia" w:hAnsi="Cambria Math"/>
          <w:b w:val="0"/>
          <w:i w:val="0"/>
          <w:lang w:val="en-US" w:eastAsia="zh-CN"/>
        </w:rPr>
        <w:t>Figure 2.2.2. SNR vs Power noise and interference signal</w:t>
      </w:r>
    </w:p>
    <w:p>
      <w:pPr>
        <w:jc w:val="left"/>
        <w:outlineLvl w:val="1"/>
        <w:rPr>
          <w:rFonts w:hint="eastAsia" w:ascii="Arial" w:hAnsi="Arial" w:eastAsia="宋体" w:cs="Arial"/>
          <w:sz w:val="28"/>
          <w:szCs w:val="28"/>
          <w:lang w:val="en-US" w:eastAsia="zh-CN"/>
        </w:rPr>
      </w:pPr>
      <w:r>
        <w:rPr>
          <w:rFonts w:hint="eastAsia" w:ascii="Arial" w:hAnsi="Arial" w:cs="Arial"/>
          <w:sz w:val="28"/>
          <w:szCs w:val="28"/>
          <w:lang w:val="en-US" w:eastAsia="zh-CN"/>
        </w:rPr>
        <w:t>2.3.</w:t>
      </w:r>
      <w:r>
        <w:rPr>
          <w:rFonts w:hint="eastAsia" w:ascii="Arial" w:hAnsi="Arial" w:eastAsia="宋体" w:cs="Arial"/>
          <w:sz w:val="28"/>
          <w:szCs w:val="28"/>
          <w:lang w:val="en-US" w:eastAsia="zh-CN"/>
        </w:rPr>
        <w:t>Field Data Analysis</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Style w:val="104"/>
          <w:rFonts w:hint="default"/>
          <w:lang w:val="en-US" w:eastAsia="zh-CN"/>
        </w:rPr>
      </w:pPr>
      <w:r>
        <w:rPr>
          <w:rStyle w:val="104"/>
          <w:rFonts w:hint="eastAsia"/>
          <w:lang w:val="en-US" w:eastAsia="zh-CN"/>
        </w:rPr>
        <w:t>With some filed measurement of PUCCH Format 2 CDD users in the FR2 environment for further analysis, it is found that some high-power users have the large-frequency selection problem to different degrees. Among the frequency-selection users, the decoding results of 40% users do not pass the DTX threshold of the current gNB implementations. The 40% should be CDD users from our understanding.</w:t>
      </w:r>
    </w:p>
    <w:tbl>
      <w:tblPr>
        <w:tblStyle w:val="27"/>
        <w:tblpPr w:leftFromText="180" w:rightFromText="180" w:vertAnchor="text" w:horzAnchor="page" w:tblpX="2956" w:tblpY="31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Style w:val="104"/>
                <w:rFonts w:hint="default"/>
                <w:highlight w:val="none"/>
              </w:rPr>
            </w:pPr>
            <w:r>
              <w:rPr>
                <w:rStyle w:val="104"/>
                <w:rFonts w:hint="eastAsia" w:ascii="Times New Roman" w:hAnsi="Times New Roman" w:eastAsia="宋体" w:cs="Times New Roman"/>
                <w:i w:val="0"/>
                <w:iCs w:val="0"/>
                <w:caps w:val="0"/>
                <w:sz w:val="21"/>
                <w:highlight w:val="none"/>
                <w:shd w:val="clear"/>
              </w:rPr>
              <w:t>Frequency selective fading</w:t>
            </w:r>
          </w:p>
        </w:tc>
        <w:tc>
          <w:tcPr>
            <w:tcW w:w="2840"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Style w:val="104"/>
                <w:rFonts w:hint="default"/>
                <w:highlight w:val="none"/>
              </w:rPr>
            </w:pPr>
            <w:r>
              <w:rPr>
                <w:rStyle w:val="104"/>
                <w:rFonts w:hint="eastAsia" w:ascii="Times New Roman" w:hAnsi="Times New Roman" w:cs="Times New Roman"/>
                <w:i w:val="0"/>
                <w:iCs w:val="0"/>
                <w:sz w:val="21"/>
                <w:highlight w:val="none"/>
                <w:u w:val="none"/>
              </w:rPr>
              <w:t xml:space="preserve">Pass DTX detection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highlight w:val="none"/>
                <w:vertAlign w:val="baseline"/>
              </w:rPr>
            </w:pPr>
            <w:r>
              <w:rPr>
                <w:rStyle w:val="104"/>
                <w:rFonts w:hint="eastAsia"/>
                <w:highlight w:val="none"/>
                <w:vertAlign w:val="baseline"/>
              </w:rPr>
              <w:t>Y</w:t>
            </w:r>
          </w:p>
        </w:tc>
        <w:tc>
          <w:tcPr>
            <w:tcW w:w="2840"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highlight w:val="none"/>
                <w:vertAlign w:val="baseline"/>
              </w:rPr>
            </w:pPr>
            <w:r>
              <w:rPr>
                <w:rStyle w:val="104"/>
                <w:rFonts w:hint="eastAsia"/>
                <w:highlight w:val="none"/>
                <w:vertAlign w:val="baseli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highlight w:val="none"/>
                <w:vertAlign w:val="baseline"/>
              </w:rPr>
            </w:pPr>
            <w:r>
              <w:rPr>
                <w:rStyle w:val="104"/>
                <w:rFonts w:hint="eastAsia"/>
                <w:highlight w:val="none"/>
                <w:vertAlign w:val="baseline"/>
              </w:rPr>
              <w:t>N</w:t>
            </w:r>
          </w:p>
        </w:tc>
        <w:tc>
          <w:tcPr>
            <w:tcW w:w="2840"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default"/>
                <w:highlight w:val="none"/>
                <w:vertAlign w:val="baseline"/>
              </w:rPr>
            </w:pPr>
            <w:r>
              <w:rPr>
                <w:rStyle w:val="104"/>
                <w:rFonts w:hint="eastAsia"/>
                <w:highlight w:val="none"/>
                <w:vertAlign w:val="baseline"/>
              </w:rPr>
              <w:t>100%</w:t>
            </w:r>
          </w:p>
        </w:tc>
      </w:tr>
    </w:tbl>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default"/>
        </w:rPr>
      </w:pPr>
    </w:p>
    <w:p>
      <w:pPr>
        <w:keepNext w:val="0"/>
        <w:keepLines w:val="0"/>
        <w:pageBreakBefore w:val="0"/>
        <w:widowControl w:val="0"/>
        <w:kinsoku/>
        <w:wordWrap/>
        <w:overflowPunct/>
        <w:topLinePunct w:val="0"/>
        <w:autoSpaceDE/>
        <w:autoSpaceDN/>
        <w:bidi w:val="0"/>
        <w:adjustRightInd/>
        <w:snapToGrid/>
        <w:spacing w:after="0" w:line="360" w:lineRule="auto"/>
        <w:ind w:firstLine="42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after="0" w:line="360" w:lineRule="auto"/>
        <w:ind w:firstLine="42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after="0" w:line="360" w:lineRule="auto"/>
        <w:ind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Style w:val="104"/>
          <w:rFonts w:hint="default"/>
          <w:lang w:val="en-US" w:eastAsia="zh-CN"/>
        </w:rPr>
      </w:pPr>
      <w:r>
        <w:rPr>
          <w:rStyle w:val="104"/>
          <w:rFonts w:hint="eastAsia"/>
          <w:lang w:val="en-US" w:eastAsia="zh-CN"/>
        </w:rPr>
        <w:t xml:space="preserve">The following figure shows the frequency-domain spectrum of field data. Different colors indicate different receiving antennas at BS side, and the raising part within the carrier spectrum indicates the location of PUCCH. The rejection in the middle of the PUCCH resource proves that CDD can cause serious frequency selection problems. </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Style w:val="104"/>
        </w:rPr>
      </w:pPr>
      <w:r>
        <w:rPr>
          <w:rStyle w:val="104"/>
        </w:rPr>
        <w:drawing>
          <wp:inline distT="0" distB="0" distL="114300" distR="114300">
            <wp:extent cx="5266055" cy="2318385"/>
            <wp:effectExtent l="0" t="0" r="10795" b="5715"/>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5"/>
                    <pic:cNvPicPr>
                      <a:picLocks noChangeAspect="1"/>
                    </pic:cNvPicPr>
                  </pic:nvPicPr>
                  <pic:blipFill>
                    <a:blip r:embed="rId10"/>
                    <a:stretch>
                      <a:fillRect/>
                    </a:stretch>
                  </pic:blipFill>
                  <pic:spPr>
                    <a:xfrm>
                      <a:off x="0" y="0"/>
                      <a:ext cx="5266055" cy="231838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Style w:val="104"/>
          <w:rFonts w:hint="default" w:eastAsia="宋体"/>
          <w:lang w:val="en-US" w:eastAsia="zh-CN"/>
        </w:rPr>
      </w:pPr>
      <w:r>
        <w:rPr>
          <w:rStyle w:val="104"/>
          <w:rFonts w:hint="eastAsia"/>
          <w:lang w:val="en-US" w:eastAsia="zh-CN"/>
        </w:rPr>
        <w:t xml:space="preserve">Figure 2.3.1. </w:t>
      </w:r>
      <w:r>
        <w:rPr>
          <w:rStyle w:val="104"/>
          <w:rFonts w:hint="eastAsia"/>
        </w:rPr>
        <w:t>the frequency-domain spectrum of field data</w:t>
      </w:r>
      <w:r>
        <w:rPr>
          <w:rStyle w:val="104"/>
          <w:rFonts w:hint="eastAsia"/>
          <w:lang w:val="en-US" w:eastAsia="zh-CN"/>
        </w:rPr>
        <w:t xml:space="preserve"> in FR2</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Style w:val="104"/>
          <w:rFonts w:hint="default"/>
          <w:lang w:val="en-US" w:eastAsia="zh-CN"/>
        </w:rPr>
      </w:pPr>
      <w:r>
        <w:rPr>
          <w:rStyle w:val="104"/>
          <w:rFonts w:hint="eastAsia"/>
          <w:lang w:val="en-US" w:eastAsia="zh-CN"/>
        </w:rPr>
        <w:t xml:space="preserve">The following figure shows the time domain channel impulse response. It can also be seen that CDD brings about the large-delay multi-path problem. </w:t>
      </w:r>
    </w:p>
    <w:p>
      <w:pPr>
        <w:pStyle w:val="102"/>
        <w:keepNext w:val="0"/>
        <w:keepLines w:val="0"/>
        <w:pageBreakBefore w:val="0"/>
        <w:widowControl w:val="0"/>
        <w:kinsoku/>
        <w:wordWrap/>
        <w:overflowPunct/>
        <w:topLinePunct w:val="0"/>
        <w:autoSpaceDE/>
        <w:autoSpaceDN/>
        <w:bidi w:val="0"/>
        <w:adjustRightInd/>
        <w:snapToGrid/>
        <w:spacing w:before="0" w:line="260" w:lineRule="auto"/>
        <w:ind w:left="0" w:firstLine="0"/>
        <w:jc w:val="center"/>
        <w:textAlignment w:val="auto"/>
        <w:rPr>
          <w:rStyle w:val="104"/>
        </w:rPr>
      </w:pPr>
      <w:r>
        <w:rPr>
          <w:rStyle w:val="104"/>
        </w:rPr>
        <w:drawing>
          <wp:inline distT="0" distB="0" distL="114300" distR="114300">
            <wp:extent cx="4286885" cy="3223260"/>
            <wp:effectExtent l="0" t="0" r="18415" b="1524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1"/>
                    <a:stretch>
                      <a:fillRect/>
                    </a:stretch>
                  </pic:blipFill>
                  <pic:spPr>
                    <a:xfrm>
                      <a:off x="0" y="0"/>
                      <a:ext cx="4286885" cy="322326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Style w:val="104"/>
          <w:rFonts w:hint="default"/>
          <w:lang w:val="en-US" w:eastAsia="zh-CN"/>
        </w:rPr>
      </w:pPr>
      <w:r>
        <w:rPr>
          <w:rStyle w:val="104"/>
          <w:rFonts w:hint="eastAsia"/>
          <w:lang w:val="en-US" w:eastAsia="zh-CN"/>
        </w:rPr>
        <w:t xml:space="preserve">Figure 2.3.2. </w:t>
      </w:r>
      <w:r>
        <w:rPr>
          <w:rStyle w:val="104"/>
          <w:rFonts w:hint="eastAsia"/>
        </w:rPr>
        <w:t>the frequency-domain spectrum of field data</w:t>
      </w:r>
      <w:r>
        <w:rPr>
          <w:rStyle w:val="104"/>
          <w:rFonts w:hint="eastAsia"/>
          <w:lang w:val="en-US" w:eastAsia="zh-CN"/>
        </w:rPr>
        <w:t xml:space="preserve"> in FR2</w:t>
      </w:r>
    </w:p>
    <w:bookmarkEnd w:id="1"/>
    <w:bookmarkEnd w:id="2"/>
    <w:bookmarkEnd w:id="3"/>
    <w:bookmarkEnd w:id="4"/>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40" w:lineRule="auto"/>
        <w:textAlignment w:val="auto"/>
        <w:rPr>
          <w:rFonts w:hint="default" w:eastAsiaTheme="minorEastAsia"/>
          <w:lang w:val="en-US" w:eastAsia="zh-CN"/>
        </w:rPr>
      </w:pPr>
      <w:r>
        <w:rPr>
          <w:rFonts w:hint="eastAsia" w:eastAsiaTheme="minorEastAsia"/>
        </w:rPr>
        <w:t xml:space="preserve">In this contribution, </w:t>
      </w:r>
      <w:r>
        <w:rPr>
          <w:rFonts w:hint="eastAsia" w:eastAsiaTheme="minorEastAsia"/>
          <w:lang w:val="en-US" w:eastAsia="zh-CN"/>
        </w:rPr>
        <w:t>we shared some further analysis for the applicability of TxD on NR PUCCH and proposals are made as following:</w:t>
      </w:r>
    </w:p>
    <w:p>
      <w:pPr>
        <w:rPr>
          <w:rFonts w:hint="default"/>
          <w:highlight w:val="none"/>
          <w:lang w:val="en-US"/>
        </w:rPr>
      </w:pPr>
      <w:r>
        <w:rPr>
          <w:rStyle w:val="104"/>
          <w:rFonts w:hint="eastAsia"/>
          <w:b/>
          <w:bCs/>
          <w:highlight w:val="none"/>
          <w:lang w:val="en-US" w:eastAsia="zh-CN"/>
        </w:rPr>
        <w:t>Proposal 1:</w:t>
      </w:r>
      <w:r>
        <w:rPr>
          <w:rStyle w:val="104"/>
          <w:rFonts w:hint="eastAsia"/>
          <w:highlight w:val="none"/>
          <w:lang w:val="en-US" w:eastAsia="zh-CN"/>
        </w:rPr>
        <w:t xml:space="preserve"> </w:t>
      </w:r>
      <w:r>
        <w:rPr>
          <w:rStyle w:val="104"/>
          <w:rFonts w:hint="eastAsia"/>
          <w:highlight w:val="none"/>
        </w:rPr>
        <w:t xml:space="preserve">For </w:t>
      </w:r>
      <w:r>
        <w:rPr>
          <w:rStyle w:val="104"/>
          <w:rFonts w:hint="eastAsia"/>
          <w:highlight w:val="none"/>
          <w:lang w:val="en-US" w:eastAsia="zh-CN"/>
        </w:rPr>
        <w:t xml:space="preserve">NR </w:t>
      </w:r>
      <w:r>
        <w:rPr>
          <w:rStyle w:val="104"/>
          <w:rFonts w:hint="eastAsia"/>
          <w:highlight w:val="none"/>
        </w:rPr>
        <w:t>PUCCH channels,</w:t>
      </w:r>
      <w:r>
        <w:rPr>
          <w:rStyle w:val="104"/>
          <w:rFonts w:hint="eastAsia"/>
          <w:highlight w:val="none"/>
          <w:lang w:val="en-US" w:eastAsia="zh-CN"/>
        </w:rPr>
        <w:t xml:space="preserve"> propose not to consider the applicability of TxD for it.</w:t>
      </w:r>
    </w:p>
    <w:p>
      <w:pPr>
        <w:pStyle w:val="58"/>
        <w:tabs>
          <w:tab w:val="left" w:pos="567"/>
          <w:tab w:val="clear" w:pos="1985"/>
        </w:tabs>
        <w:adjustRightInd w:val="0"/>
        <w:ind w:left="510" w:hanging="510"/>
      </w:pPr>
      <w:r>
        <w:t>References</w:t>
      </w:r>
    </w:p>
    <w:p>
      <w:pPr>
        <w:pStyle w:val="56"/>
        <w:numPr>
          <w:ilvl w:val="0"/>
          <w:numId w:val="3"/>
        </w:numPr>
        <w:rPr>
          <w:rFonts w:hint="eastAsia" w:ascii="Times New Roman" w:hAnsi="Times New Roman" w:cs="Times New Roman"/>
          <w:sz w:val="20"/>
          <w:szCs w:val="20"/>
        </w:rPr>
      </w:pPr>
      <w:r>
        <w:rPr>
          <w:rFonts w:hint="eastAsia" w:cs="Times New Roman"/>
          <w:sz w:val="20"/>
          <w:szCs w:val="20"/>
          <w:lang w:val="en-US" w:eastAsia="zh-CN"/>
        </w:rPr>
        <w:t>TS 38.213</w:t>
      </w:r>
    </w:p>
    <w:p>
      <w:pPr>
        <w:pStyle w:val="56"/>
        <w:numPr>
          <w:ilvl w:val="0"/>
          <w:numId w:val="3"/>
        </w:numPr>
        <w:rPr>
          <w:rFonts w:hint="eastAsia" w:ascii="Times New Roman" w:hAnsi="Times New Roman" w:cs="Times New Roman"/>
          <w:sz w:val="20"/>
          <w:szCs w:val="20"/>
        </w:rPr>
      </w:pPr>
      <w:r>
        <w:rPr>
          <w:rFonts w:hint="eastAsia" w:cs="Times New Roman"/>
          <w:sz w:val="20"/>
          <w:szCs w:val="20"/>
          <w:lang w:val="en-US" w:eastAsia="zh-CN"/>
        </w:rPr>
        <w:t>TS 38.211</w:t>
      </w:r>
    </w:p>
    <w:p>
      <w:pPr>
        <w:pStyle w:val="56"/>
        <w:rPr>
          <w:sz w:val="20"/>
          <w:szCs w:val="20"/>
        </w:rPr>
      </w:pP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
    <w:nsid w:val="5DA86BF2"/>
    <w:multiLevelType w:val="singleLevel"/>
    <w:tmpl w:val="5DA86BF2"/>
    <w:lvl w:ilvl="0" w:tentative="0">
      <w:start w:val="1"/>
      <w:numFmt w:val="bullet"/>
      <w:lvlText w:val=""/>
      <w:lvlJc w:val="left"/>
      <w:pPr>
        <w:ind w:left="42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C03"/>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B73"/>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1BD5"/>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7C"/>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C3DA8"/>
    <w:rsid w:val="019E267E"/>
    <w:rsid w:val="01A402CD"/>
    <w:rsid w:val="01A742A2"/>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24275"/>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618EA"/>
    <w:rsid w:val="035C4C68"/>
    <w:rsid w:val="035D2EB4"/>
    <w:rsid w:val="03651217"/>
    <w:rsid w:val="03687ADD"/>
    <w:rsid w:val="03696DA6"/>
    <w:rsid w:val="036A231E"/>
    <w:rsid w:val="03774924"/>
    <w:rsid w:val="03822F79"/>
    <w:rsid w:val="038B3715"/>
    <w:rsid w:val="0395764C"/>
    <w:rsid w:val="039B69FD"/>
    <w:rsid w:val="03A32E58"/>
    <w:rsid w:val="03AC2829"/>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225784"/>
    <w:rsid w:val="04252816"/>
    <w:rsid w:val="04343972"/>
    <w:rsid w:val="043711E5"/>
    <w:rsid w:val="04376B0F"/>
    <w:rsid w:val="0444143C"/>
    <w:rsid w:val="0444783F"/>
    <w:rsid w:val="044753DC"/>
    <w:rsid w:val="044C3FDE"/>
    <w:rsid w:val="045835A5"/>
    <w:rsid w:val="045C0E21"/>
    <w:rsid w:val="045E1DEE"/>
    <w:rsid w:val="045F0F0B"/>
    <w:rsid w:val="045F23BF"/>
    <w:rsid w:val="04605B56"/>
    <w:rsid w:val="04671100"/>
    <w:rsid w:val="046E568E"/>
    <w:rsid w:val="04786E64"/>
    <w:rsid w:val="04786ED3"/>
    <w:rsid w:val="04811E74"/>
    <w:rsid w:val="04856247"/>
    <w:rsid w:val="04865E52"/>
    <w:rsid w:val="04875104"/>
    <w:rsid w:val="048829D4"/>
    <w:rsid w:val="049B40DC"/>
    <w:rsid w:val="049D3973"/>
    <w:rsid w:val="04A128B3"/>
    <w:rsid w:val="04A3117E"/>
    <w:rsid w:val="04C6655F"/>
    <w:rsid w:val="04CD2C67"/>
    <w:rsid w:val="04D66461"/>
    <w:rsid w:val="04D85EFD"/>
    <w:rsid w:val="04D95F6F"/>
    <w:rsid w:val="04E06510"/>
    <w:rsid w:val="04ED5A99"/>
    <w:rsid w:val="04FB4499"/>
    <w:rsid w:val="04FF76AB"/>
    <w:rsid w:val="05010225"/>
    <w:rsid w:val="051034CD"/>
    <w:rsid w:val="051F43BC"/>
    <w:rsid w:val="052432F7"/>
    <w:rsid w:val="05280A89"/>
    <w:rsid w:val="052D14A7"/>
    <w:rsid w:val="052E75AC"/>
    <w:rsid w:val="05367F8C"/>
    <w:rsid w:val="053C34DE"/>
    <w:rsid w:val="053E1AC2"/>
    <w:rsid w:val="053E6829"/>
    <w:rsid w:val="05403ABE"/>
    <w:rsid w:val="0545651B"/>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054F"/>
    <w:rsid w:val="06111076"/>
    <w:rsid w:val="061146F4"/>
    <w:rsid w:val="062362D5"/>
    <w:rsid w:val="062734D4"/>
    <w:rsid w:val="062D742E"/>
    <w:rsid w:val="06382A58"/>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6771F"/>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250C8"/>
    <w:rsid w:val="08D836B6"/>
    <w:rsid w:val="08D964D0"/>
    <w:rsid w:val="08E05424"/>
    <w:rsid w:val="08F10FA0"/>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A0D5D"/>
    <w:rsid w:val="0A446B70"/>
    <w:rsid w:val="0A4758B8"/>
    <w:rsid w:val="0A5056C6"/>
    <w:rsid w:val="0A5060D6"/>
    <w:rsid w:val="0A570EAE"/>
    <w:rsid w:val="0A5F4C2E"/>
    <w:rsid w:val="0A6B69C2"/>
    <w:rsid w:val="0A7200B0"/>
    <w:rsid w:val="0A741F08"/>
    <w:rsid w:val="0A771CA5"/>
    <w:rsid w:val="0A7A2F0F"/>
    <w:rsid w:val="0A7E75AF"/>
    <w:rsid w:val="0A7F11A2"/>
    <w:rsid w:val="0A7F4F37"/>
    <w:rsid w:val="0A843B9D"/>
    <w:rsid w:val="0A8621F2"/>
    <w:rsid w:val="0A897334"/>
    <w:rsid w:val="0A8A7513"/>
    <w:rsid w:val="0A8C711B"/>
    <w:rsid w:val="0A8F1F9F"/>
    <w:rsid w:val="0A9124C9"/>
    <w:rsid w:val="0A9B6BF5"/>
    <w:rsid w:val="0A9E5B2C"/>
    <w:rsid w:val="0AA01FBE"/>
    <w:rsid w:val="0AA24BFF"/>
    <w:rsid w:val="0AA40CFE"/>
    <w:rsid w:val="0AA4164F"/>
    <w:rsid w:val="0AA50074"/>
    <w:rsid w:val="0AAB401F"/>
    <w:rsid w:val="0AB329A9"/>
    <w:rsid w:val="0ABA55D8"/>
    <w:rsid w:val="0ABE30B5"/>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1E322C"/>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82A70"/>
    <w:rsid w:val="0C9A4387"/>
    <w:rsid w:val="0C9D3F03"/>
    <w:rsid w:val="0CA1546A"/>
    <w:rsid w:val="0CA4660D"/>
    <w:rsid w:val="0CA46672"/>
    <w:rsid w:val="0CA92BAC"/>
    <w:rsid w:val="0CB02A2E"/>
    <w:rsid w:val="0CB07BBB"/>
    <w:rsid w:val="0CB176C1"/>
    <w:rsid w:val="0CB471A1"/>
    <w:rsid w:val="0CB90F2E"/>
    <w:rsid w:val="0CBB5A0F"/>
    <w:rsid w:val="0CCD3B1C"/>
    <w:rsid w:val="0CD648E3"/>
    <w:rsid w:val="0CE245F1"/>
    <w:rsid w:val="0CE33A19"/>
    <w:rsid w:val="0CE4001E"/>
    <w:rsid w:val="0CF5634C"/>
    <w:rsid w:val="0D0213CD"/>
    <w:rsid w:val="0D044784"/>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74EC2"/>
    <w:rsid w:val="0D480AA9"/>
    <w:rsid w:val="0D4D56D6"/>
    <w:rsid w:val="0D5800C7"/>
    <w:rsid w:val="0D5B6E86"/>
    <w:rsid w:val="0D604B9B"/>
    <w:rsid w:val="0D63712E"/>
    <w:rsid w:val="0D647BCA"/>
    <w:rsid w:val="0D6A353C"/>
    <w:rsid w:val="0D771AFB"/>
    <w:rsid w:val="0D7969D7"/>
    <w:rsid w:val="0D826C81"/>
    <w:rsid w:val="0D845BD8"/>
    <w:rsid w:val="0D904522"/>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B4942"/>
    <w:rsid w:val="0E0D1A47"/>
    <w:rsid w:val="0E176FCD"/>
    <w:rsid w:val="0E193FCB"/>
    <w:rsid w:val="0E1C0C6C"/>
    <w:rsid w:val="0E2134C9"/>
    <w:rsid w:val="0E232F90"/>
    <w:rsid w:val="0E281319"/>
    <w:rsid w:val="0E3217E8"/>
    <w:rsid w:val="0E387AA5"/>
    <w:rsid w:val="0E393B3A"/>
    <w:rsid w:val="0E3D2E6B"/>
    <w:rsid w:val="0E3F0E9A"/>
    <w:rsid w:val="0E400D03"/>
    <w:rsid w:val="0E406D5C"/>
    <w:rsid w:val="0E485C9B"/>
    <w:rsid w:val="0E4D4B22"/>
    <w:rsid w:val="0E5A04BE"/>
    <w:rsid w:val="0E5E2B07"/>
    <w:rsid w:val="0E6A0F47"/>
    <w:rsid w:val="0E6A1721"/>
    <w:rsid w:val="0E7250B1"/>
    <w:rsid w:val="0E7454FD"/>
    <w:rsid w:val="0E752596"/>
    <w:rsid w:val="0E771E51"/>
    <w:rsid w:val="0E796EA0"/>
    <w:rsid w:val="0E7A2A61"/>
    <w:rsid w:val="0E7C0762"/>
    <w:rsid w:val="0E8118C0"/>
    <w:rsid w:val="0E8164AD"/>
    <w:rsid w:val="0E894FFB"/>
    <w:rsid w:val="0E943177"/>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E77EDF"/>
    <w:rsid w:val="0EEC53AA"/>
    <w:rsid w:val="0EED4D4C"/>
    <w:rsid w:val="0EF75D05"/>
    <w:rsid w:val="0EF957FE"/>
    <w:rsid w:val="0EFA5D3C"/>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E7CB0"/>
    <w:rsid w:val="0F8F27CB"/>
    <w:rsid w:val="0F9A3D44"/>
    <w:rsid w:val="0F9F0781"/>
    <w:rsid w:val="0FA11695"/>
    <w:rsid w:val="0FA26E81"/>
    <w:rsid w:val="0FA615E1"/>
    <w:rsid w:val="0FAD0019"/>
    <w:rsid w:val="0FAD3299"/>
    <w:rsid w:val="0FAD3F5A"/>
    <w:rsid w:val="0FB261C9"/>
    <w:rsid w:val="0FB31343"/>
    <w:rsid w:val="0FB714C3"/>
    <w:rsid w:val="0FC12836"/>
    <w:rsid w:val="0FC427AC"/>
    <w:rsid w:val="0FC6203C"/>
    <w:rsid w:val="0FD95333"/>
    <w:rsid w:val="0FDD44E9"/>
    <w:rsid w:val="0FE0698F"/>
    <w:rsid w:val="0FE23A01"/>
    <w:rsid w:val="0FEA3F98"/>
    <w:rsid w:val="0FEB0378"/>
    <w:rsid w:val="0FEC322B"/>
    <w:rsid w:val="0FEC6EF6"/>
    <w:rsid w:val="10036C5E"/>
    <w:rsid w:val="10045EE6"/>
    <w:rsid w:val="10071FE5"/>
    <w:rsid w:val="100C1580"/>
    <w:rsid w:val="100D3B17"/>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45462"/>
    <w:rsid w:val="10591BBA"/>
    <w:rsid w:val="10613177"/>
    <w:rsid w:val="1063036B"/>
    <w:rsid w:val="10674DB0"/>
    <w:rsid w:val="106D678B"/>
    <w:rsid w:val="107374A2"/>
    <w:rsid w:val="10746083"/>
    <w:rsid w:val="10774625"/>
    <w:rsid w:val="107779F1"/>
    <w:rsid w:val="107B4809"/>
    <w:rsid w:val="107C7AF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821AF"/>
    <w:rsid w:val="10DF786B"/>
    <w:rsid w:val="10E0255E"/>
    <w:rsid w:val="10EC75B1"/>
    <w:rsid w:val="10F33CC1"/>
    <w:rsid w:val="10FA45D2"/>
    <w:rsid w:val="10FD6E37"/>
    <w:rsid w:val="11024527"/>
    <w:rsid w:val="110A4489"/>
    <w:rsid w:val="11150F62"/>
    <w:rsid w:val="111A28E5"/>
    <w:rsid w:val="111D46E5"/>
    <w:rsid w:val="111E5679"/>
    <w:rsid w:val="112244AF"/>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DD4F52"/>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D51EC"/>
    <w:rsid w:val="13F22B81"/>
    <w:rsid w:val="13F41B61"/>
    <w:rsid w:val="13FD4FCC"/>
    <w:rsid w:val="13FE285E"/>
    <w:rsid w:val="1400502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A3AF9"/>
    <w:rsid w:val="151B0462"/>
    <w:rsid w:val="151C45D8"/>
    <w:rsid w:val="15290336"/>
    <w:rsid w:val="15297BD7"/>
    <w:rsid w:val="152E6293"/>
    <w:rsid w:val="15325A1E"/>
    <w:rsid w:val="153B59AE"/>
    <w:rsid w:val="1542012A"/>
    <w:rsid w:val="15422ACA"/>
    <w:rsid w:val="154D4A84"/>
    <w:rsid w:val="15502EB7"/>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32BB5"/>
    <w:rsid w:val="15EA2C22"/>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40EF0"/>
    <w:rsid w:val="17256955"/>
    <w:rsid w:val="17260A88"/>
    <w:rsid w:val="172B0F34"/>
    <w:rsid w:val="172B6CEB"/>
    <w:rsid w:val="172E31B3"/>
    <w:rsid w:val="17343071"/>
    <w:rsid w:val="17350245"/>
    <w:rsid w:val="17382580"/>
    <w:rsid w:val="17425826"/>
    <w:rsid w:val="174A2BD1"/>
    <w:rsid w:val="174D3983"/>
    <w:rsid w:val="17595246"/>
    <w:rsid w:val="175E4288"/>
    <w:rsid w:val="175F6489"/>
    <w:rsid w:val="17650A34"/>
    <w:rsid w:val="17652ACF"/>
    <w:rsid w:val="17672074"/>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86C5B"/>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44DE6"/>
    <w:rsid w:val="1A5571F4"/>
    <w:rsid w:val="1A5760FC"/>
    <w:rsid w:val="1A5B0C0F"/>
    <w:rsid w:val="1A5F2F04"/>
    <w:rsid w:val="1A5F7253"/>
    <w:rsid w:val="1A6A0EEA"/>
    <w:rsid w:val="1A6B64C2"/>
    <w:rsid w:val="1A6D22C8"/>
    <w:rsid w:val="1A6E6393"/>
    <w:rsid w:val="1A6F5AC3"/>
    <w:rsid w:val="1A725418"/>
    <w:rsid w:val="1A7A2EF9"/>
    <w:rsid w:val="1A7E54E2"/>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15EC"/>
    <w:rsid w:val="1BF92025"/>
    <w:rsid w:val="1BF9326D"/>
    <w:rsid w:val="1C036FDA"/>
    <w:rsid w:val="1C0730F3"/>
    <w:rsid w:val="1C08111C"/>
    <w:rsid w:val="1C0A12E3"/>
    <w:rsid w:val="1C0B33CB"/>
    <w:rsid w:val="1C0D0258"/>
    <w:rsid w:val="1C0D60C9"/>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A57E6"/>
    <w:rsid w:val="1D023336"/>
    <w:rsid w:val="1D031DDA"/>
    <w:rsid w:val="1D0B731D"/>
    <w:rsid w:val="1D1D6A68"/>
    <w:rsid w:val="1D1F1D0C"/>
    <w:rsid w:val="1D2054C4"/>
    <w:rsid w:val="1D24658B"/>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276A9"/>
    <w:rsid w:val="1D8C6C1B"/>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DFF60C2"/>
    <w:rsid w:val="1E02615D"/>
    <w:rsid w:val="1E093D7D"/>
    <w:rsid w:val="1E143B97"/>
    <w:rsid w:val="1E183872"/>
    <w:rsid w:val="1E1D7E95"/>
    <w:rsid w:val="1E201A27"/>
    <w:rsid w:val="1E224747"/>
    <w:rsid w:val="1E247301"/>
    <w:rsid w:val="1E2B2F2B"/>
    <w:rsid w:val="1E304B88"/>
    <w:rsid w:val="1E377B48"/>
    <w:rsid w:val="1E3E02E7"/>
    <w:rsid w:val="1E6703B7"/>
    <w:rsid w:val="1E680B85"/>
    <w:rsid w:val="1E6B2336"/>
    <w:rsid w:val="1E712925"/>
    <w:rsid w:val="1E75767B"/>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026A0"/>
    <w:rsid w:val="1F7959F4"/>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16BF6"/>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13990"/>
    <w:rsid w:val="201359DF"/>
    <w:rsid w:val="20140382"/>
    <w:rsid w:val="201C304F"/>
    <w:rsid w:val="201C690F"/>
    <w:rsid w:val="20263D53"/>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E27CB"/>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A4626"/>
    <w:rsid w:val="211C198B"/>
    <w:rsid w:val="211C7EF8"/>
    <w:rsid w:val="21201AED"/>
    <w:rsid w:val="212F6A59"/>
    <w:rsid w:val="213020AE"/>
    <w:rsid w:val="21306305"/>
    <w:rsid w:val="21330562"/>
    <w:rsid w:val="21361B20"/>
    <w:rsid w:val="213D54AD"/>
    <w:rsid w:val="214169BB"/>
    <w:rsid w:val="2144141D"/>
    <w:rsid w:val="214B1974"/>
    <w:rsid w:val="214F4863"/>
    <w:rsid w:val="21500A96"/>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90B5D"/>
    <w:rsid w:val="21AA5245"/>
    <w:rsid w:val="21AB4F6A"/>
    <w:rsid w:val="21AB77F7"/>
    <w:rsid w:val="21AC4ECC"/>
    <w:rsid w:val="21AD30AE"/>
    <w:rsid w:val="21B43633"/>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44177"/>
    <w:rsid w:val="22680B07"/>
    <w:rsid w:val="22681A0E"/>
    <w:rsid w:val="226E20BA"/>
    <w:rsid w:val="22713317"/>
    <w:rsid w:val="227D6059"/>
    <w:rsid w:val="227F5037"/>
    <w:rsid w:val="228041D7"/>
    <w:rsid w:val="228A008B"/>
    <w:rsid w:val="228A2082"/>
    <w:rsid w:val="228D63FC"/>
    <w:rsid w:val="229A716A"/>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61781"/>
    <w:rsid w:val="22E30977"/>
    <w:rsid w:val="22E30F99"/>
    <w:rsid w:val="22E95A8D"/>
    <w:rsid w:val="22F017B2"/>
    <w:rsid w:val="22F7088E"/>
    <w:rsid w:val="22F97E5B"/>
    <w:rsid w:val="22FA647A"/>
    <w:rsid w:val="22FB21DC"/>
    <w:rsid w:val="23003817"/>
    <w:rsid w:val="23042520"/>
    <w:rsid w:val="230B07F6"/>
    <w:rsid w:val="230B41EB"/>
    <w:rsid w:val="23143B37"/>
    <w:rsid w:val="231544D3"/>
    <w:rsid w:val="2315496B"/>
    <w:rsid w:val="231637F9"/>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2CD1"/>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D4A2F"/>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7BE6"/>
    <w:rsid w:val="24ED38F7"/>
    <w:rsid w:val="24F17428"/>
    <w:rsid w:val="24F24750"/>
    <w:rsid w:val="250253B9"/>
    <w:rsid w:val="250C5C6A"/>
    <w:rsid w:val="25165BAC"/>
    <w:rsid w:val="2517098B"/>
    <w:rsid w:val="25176627"/>
    <w:rsid w:val="251E0656"/>
    <w:rsid w:val="252053F9"/>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C566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E20E8"/>
    <w:rsid w:val="262E34C1"/>
    <w:rsid w:val="263E0775"/>
    <w:rsid w:val="2640682F"/>
    <w:rsid w:val="26472F6E"/>
    <w:rsid w:val="264F1C1E"/>
    <w:rsid w:val="264F2FA3"/>
    <w:rsid w:val="26510DB8"/>
    <w:rsid w:val="26531A21"/>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091981"/>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58F1"/>
    <w:rsid w:val="276142AB"/>
    <w:rsid w:val="27621C7A"/>
    <w:rsid w:val="27625732"/>
    <w:rsid w:val="276320D7"/>
    <w:rsid w:val="276F3D3A"/>
    <w:rsid w:val="27711B2C"/>
    <w:rsid w:val="27744B4E"/>
    <w:rsid w:val="277A5E6A"/>
    <w:rsid w:val="278A6416"/>
    <w:rsid w:val="279408D2"/>
    <w:rsid w:val="279A2ED3"/>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40638"/>
    <w:rsid w:val="27FB11A8"/>
    <w:rsid w:val="27FE4240"/>
    <w:rsid w:val="27FF2D7D"/>
    <w:rsid w:val="280008FF"/>
    <w:rsid w:val="28050D91"/>
    <w:rsid w:val="280A73A7"/>
    <w:rsid w:val="280B0292"/>
    <w:rsid w:val="281035C6"/>
    <w:rsid w:val="28140E2A"/>
    <w:rsid w:val="2824417F"/>
    <w:rsid w:val="28255041"/>
    <w:rsid w:val="282B1213"/>
    <w:rsid w:val="283832F0"/>
    <w:rsid w:val="283A1E3E"/>
    <w:rsid w:val="283F0B9A"/>
    <w:rsid w:val="284543A1"/>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448B4"/>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0096A"/>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3176E"/>
    <w:rsid w:val="2A1646D4"/>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627A42"/>
    <w:rsid w:val="2A630308"/>
    <w:rsid w:val="2A657762"/>
    <w:rsid w:val="2A676AD0"/>
    <w:rsid w:val="2A687AA6"/>
    <w:rsid w:val="2A6A2073"/>
    <w:rsid w:val="2A7317FC"/>
    <w:rsid w:val="2A770CC7"/>
    <w:rsid w:val="2A7764D9"/>
    <w:rsid w:val="2A7A022E"/>
    <w:rsid w:val="2A7B6C4A"/>
    <w:rsid w:val="2A8A27A6"/>
    <w:rsid w:val="2A8A57BB"/>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759DF"/>
    <w:rsid w:val="2B8B34AB"/>
    <w:rsid w:val="2B914C5E"/>
    <w:rsid w:val="2BA252E6"/>
    <w:rsid w:val="2BA53554"/>
    <w:rsid w:val="2BAC4FE7"/>
    <w:rsid w:val="2BB0363B"/>
    <w:rsid w:val="2BB14000"/>
    <w:rsid w:val="2BB44220"/>
    <w:rsid w:val="2BB61EA7"/>
    <w:rsid w:val="2BBA6EF5"/>
    <w:rsid w:val="2BBD5502"/>
    <w:rsid w:val="2BBE53B4"/>
    <w:rsid w:val="2BC03979"/>
    <w:rsid w:val="2BC941AF"/>
    <w:rsid w:val="2BD01C8D"/>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725E8"/>
    <w:rsid w:val="2C4D767D"/>
    <w:rsid w:val="2C5514C6"/>
    <w:rsid w:val="2C5B6D3D"/>
    <w:rsid w:val="2C5C2032"/>
    <w:rsid w:val="2C5E21B4"/>
    <w:rsid w:val="2C5F0C97"/>
    <w:rsid w:val="2C5F550C"/>
    <w:rsid w:val="2C677A44"/>
    <w:rsid w:val="2C6B4038"/>
    <w:rsid w:val="2C72088D"/>
    <w:rsid w:val="2C787BAC"/>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560DC"/>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210212"/>
    <w:rsid w:val="2D306B85"/>
    <w:rsid w:val="2D313196"/>
    <w:rsid w:val="2D323D75"/>
    <w:rsid w:val="2D3F06B2"/>
    <w:rsid w:val="2D400A9F"/>
    <w:rsid w:val="2D540857"/>
    <w:rsid w:val="2D590555"/>
    <w:rsid w:val="2D726428"/>
    <w:rsid w:val="2D770975"/>
    <w:rsid w:val="2D7A06F1"/>
    <w:rsid w:val="2D8151A4"/>
    <w:rsid w:val="2DA02E9C"/>
    <w:rsid w:val="2DAC4521"/>
    <w:rsid w:val="2DBB1852"/>
    <w:rsid w:val="2DBF0C3E"/>
    <w:rsid w:val="2DBF1601"/>
    <w:rsid w:val="2DBF44A4"/>
    <w:rsid w:val="2DBF4C3A"/>
    <w:rsid w:val="2DC464AC"/>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55250"/>
    <w:rsid w:val="2E2630D7"/>
    <w:rsid w:val="2E2806DD"/>
    <w:rsid w:val="2E290C48"/>
    <w:rsid w:val="2E2A4425"/>
    <w:rsid w:val="2E2F3046"/>
    <w:rsid w:val="2E302808"/>
    <w:rsid w:val="2E3A3030"/>
    <w:rsid w:val="2E3C084B"/>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F09A4"/>
    <w:rsid w:val="2E914A07"/>
    <w:rsid w:val="2E926CF6"/>
    <w:rsid w:val="2E993370"/>
    <w:rsid w:val="2E9A086A"/>
    <w:rsid w:val="2E9A69ED"/>
    <w:rsid w:val="2E9B22A9"/>
    <w:rsid w:val="2EA049A8"/>
    <w:rsid w:val="2EA26ABE"/>
    <w:rsid w:val="2EA72F10"/>
    <w:rsid w:val="2EA74B75"/>
    <w:rsid w:val="2EAA3A90"/>
    <w:rsid w:val="2EB61295"/>
    <w:rsid w:val="2EB941A6"/>
    <w:rsid w:val="2EC24BC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640C4"/>
    <w:rsid w:val="2F8E5F5C"/>
    <w:rsid w:val="2F921FA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DB1B1A"/>
    <w:rsid w:val="2FDC5684"/>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1E250B"/>
    <w:rsid w:val="32226597"/>
    <w:rsid w:val="322A5516"/>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D7767"/>
    <w:rsid w:val="33610DDA"/>
    <w:rsid w:val="3362171F"/>
    <w:rsid w:val="3366319E"/>
    <w:rsid w:val="336A11D9"/>
    <w:rsid w:val="336C2B69"/>
    <w:rsid w:val="336D3B91"/>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DA0E45"/>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21EC2"/>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B121C7"/>
    <w:rsid w:val="36B2486C"/>
    <w:rsid w:val="36B307B1"/>
    <w:rsid w:val="36BA14F4"/>
    <w:rsid w:val="36C45C2A"/>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974B4"/>
    <w:rsid w:val="37180E22"/>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12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8FF0674"/>
    <w:rsid w:val="39065A02"/>
    <w:rsid w:val="39105718"/>
    <w:rsid w:val="3913384B"/>
    <w:rsid w:val="39147611"/>
    <w:rsid w:val="392B6A4C"/>
    <w:rsid w:val="393232FB"/>
    <w:rsid w:val="393544DD"/>
    <w:rsid w:val="393962EC"/>
    <w:rsid w:val="393F6CD7"/>
    <w:rsid w:val="39457868"/>
    <w:rsid w:val="39462EDC"/>
    <w:rsid w:val="394935B8"/>
    <w:rsid w:val="394C557A"/>
    <w:rsid w:val="3952190F"/>
    <w:rsid w:val="39541117"/>
    <w:rsid w:val="395753F2"/>
    <w:rsid w:val="395771BA"/>
    <w:rsid w:val="395811AF"/>
    <w:rsid w:val="395C697A"/>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028BA"/>
    <w:rsid w:val="3A8B3C77"/>
    <w:rsid w:val="3A971F5B"/>
    <w:rsid w:val="3A9A224E"/>
    <w:rsid w:val="3A9C1F8C"/>
    <w:rsid w:val="3A9D2551"/>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6C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B17297"/>
    <w:rsid w:val="3DBB6C89"/>
    <w:rsid w:val="3DCD6921"/>
    <w:rsid w:val="3DD67156"/>
    <w:rsid w:val="3DD745F2"/>
    <w:rsid w:val="3DE04FCE"/>
    <w:rsid w:val="3DE37514"/>
    <w:rsid w:val="3DE548AC"/>
    <w:rsid w:val="3DE653F8"/>
    <w:rsid w:val="3DE72673"/>
    <w:rsid w:val="3DEB1255"/>
    <w:rsid w:val="3DEE1FBE"/>
    <w:rsid w:val="3DEE62E8"/>
    <w:rsid w:val="3DF204AA"/>
    <w:rsid w:val="3DF94D6E"/>
    <w:rsid w:val="3E0448CB"/>
    <w:rsid w:val="3E073B6A"/>
    <w:rsid w:val="3E0918A5"/>
    <w:rsid w:val="3E0F25EA"/>
    <w:rsid w:val="3E146F59"/>
    <w:rsid w:val="3E197897"/>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255B4"/>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21B4B"/>
    <w:rsid w:val="3F3C6744"/>
    <w:rsid w:val="3F421D47"/>
    <w:rsid w:val="3F441B08"/>
    <w:rsid w:val="3F4A4087"/>
    <w:rsid w:val="3F5361F5"/>
    <w:rsid w:val="3F555F0F"/>
    <w:rsid w:val="3F556D23"/>
    <w:rsid w:val="3F6B3632"/>
    <w:rsid w:val="3F742249"/>
    <w:rsid w:val="3F776E0A"/>
    <w:rsid w:val="3F8978E2"/>
    <w:rsid w:val="3F952814"/>
    <w:rsid w:val="3F956B94"/>
    <w:rsid w:val="3F9C0821"/>
    <w:rsid w:val="3F9C213C"/>
    <w:rsid w:val="3FA41C63"/>
    <w:rsid w:val="3FAA70C5"/>
    <w:rsid w:val="3FAB100B"/>
    <w:rsid w:val="3FAB3D87"/>
    <w:rsid w:val="3FAB41A2"/>
    <w:rsid w:val="3FAE47F6"/>
    <w:rsid w:val="3FB03D8B"/>
    <w:rsid w:val="3FB77F5A"/>
    <w:rsid w:val="3FBB4BEF"/>
    <w:rsid w:val="3FBE30B8"/>
    <w:rsid w:val="3FC80830"/>
    <w:rsid w:val="3FCF604C"/>
    <w:rsid w:val="3FD210AC"/>
    <w:rsid w:val="3FD53CFE"/>
    <w:rsid w:val="3FD9316A"/>
    <w:rsid w:val="3FE1096B"/>
    <w:rsid w:val="3FE210C1"/>
    <w:rsid w:val="3FEB1C22"/>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8358D"/>
    <w:rsid w:val="4049754C"/>
    <w:rsid w:val="404B2521"/>
    <w:rsid w:val="404F7DEB"/>
    <w:rsid w:val="40572DA6"/>
    <w:rsid w:val="40580367"/>
    <w:rsid w:val="405A424E"/>
    <w:rsid w:val="405B06CE"/>
    <w:rsid w:val="406D461C"/>
    <w:rsid w:val="406F7D87"/>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54851"/>
    <w:rsid w:val="418B26ED"/>
    <w:rsid w:val="41931531"/>
    <w:rsid w:val="41986119"/>
    <w:rsid w:val="419B3B43"/>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6368B"/>
    <w:rsid w:val="41F04C42"/>
    <w:rsid w:val="41F0701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38B6"/>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E21F58"/>
    <w:rsid w:val="43E35EF0"/>
    <w:rsid w:val="43ED069B"/>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6C5F34"/>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04774"/>
    <w:rsid w:val="45F4334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3778A"/>
    <w:rsid w:val="466D3070"/>
    <w:rsid w:val="4671651F"/>
    <w:rsid w:val="46787358"/>
    <w:rsid w:val="467929D1"/>
    <w:rsid w:val="4679494F"/>
    <w:rsid w:val="467A6815"/>
    <w:rsid w:val="467D6082"/>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563E1"/>
    <w:rsid w:val="47167C67"/>
    <w:rsid w:val="47333B1B"/>
    <w:rsid w:val="47351654"/>
    <w:rsid w:val="473D0BD8"/>
    <w:rsid w:val="47457188"/>
    <w:rsid w:val="47502F2C"/>
    <w:rsid w:val="47561DDC"/>
    <w:rsid w:val="47592D4E"/>
    <w:rsid w:val="475D3E81"/>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0559D"/>
    <w:rsid w:val="48111DC2"/>
    <w:rsid w:val="48156BFB"/>
    <w:rsid w:val="481E5F8D"/>
    <w:rsid w:val="48204877"/>
    <w:rsid w:val="482B39B5"/>
    <w:rsid w:val="482D350F"/>
    <w:rsid w:val="483A4006"/>
    <w:rsid w:val="483B5BCA"/>
    <w:rsid w:val="483C2A8C"/>
    <w:rsid w:val="483E41E4"/>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44B5E"/>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21845"/>
    <w:rsid w:val="49A43EE6"/>
    <w:rsid w:val="49AB3DB8"/>
    <w:rsid w:val="49B4201A"/>
    <w:rsid w:val="49BA6924"/>
    <w:rsid w:val="49C20C6C"/>
    <w:rsid w:val="49CE0C89"/>
    <w:rsid w:val="49D93C20"/>
    <w:rsid w:val="49DA3FD3"/>
    <w:rsid w:val="49DA7AB7"/>
    <w:rsid w:val="49E028D9"/>
    <w:rsid w:val="49E353F8"/>
    <w:rsid w:val="49E46DD1"/>
    <w:rsid w:val="49E95933"/>
    <w:rsid w:val="49F7729C"/>
    <w:rsid w:val="49FA57FE"/>
    <w:rsid w:val="49FC4B03"/>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37164"/>
    <w:rsid w:val="4A95521B"/>
    <w:rsid w:val="4A970AB1"/>
    <w:rsid w:val="4A9C6332"/>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76E2E"/>
    <w:rsid w:val="4B385AE2"/>
    <w:rsid w:val="4B387AC6"/>
    <w:rsid w:val="4B3A6EDA"/>
    <w:rsid w:val="4B3D5656"/>
    <w:rsid w:val="4B3F4861"/>
    <w:rsid w:val="4B475D91"/>
    <w:rsid w:val="4B4C459F"/>
    <w:rsid w:val="4B5005ED"/>
    <w:rsid w:val="4B50566A"/>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45F66"/>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D6CA0"/>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B056F4"/>
    <w:rsid w:val="4DB41824"/>
    <w:rsid w:val="4DB95A69"/>
    <w:rsid w:val="4DBB1AD3"/>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815F0"/>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72E66"/>
    <w:rsid w:val="4F6E6F86"/>
    <w:rsid w:val="4F7278C6"/>
    <w:rsid w:val="4F764CC2"/>
    <w:rsid w:val="4F823D55"/>
    <w:rsid w:val="4F85034E"/>
    <w:rsid w:val="4F9000F4"/>
    <w:rsid w:val="4F983E33"/>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4F2E59"/>
    <w:rsid w:val="515361F4"/>
    <w:rsid w:val="515529BB"/>
    <w:rsid w:val="515A64E3"/>
    <w:rsid w:val="515C30A6"/>
    <w:rsid w:val="51600393"/>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90CD5"/>
    <w:rsid w:val="51EE7B3E"/>
    <w:rsid w:val="51F51BD1"/>
    <w:rsid w:val="51F96848"/>
    <w:rsid w:val="51FB40B5"/>
    <w:rsid w:val="52073487"/>
    <w:rsid w:val="520A7B89"/>
    <w:rsid w:val="520E648E"/>
    <w:rsid w:val="521C5D43"/>
    <w:rsid w:val="521D7ED7"/>
    <w:rsid w:val="52257DA4"/>
    <w:rsid w:val="52325EE7"/>
    <w:rsid w:val="5239194F"/>
    <w:rsid w:val="524D342E"/>
    <w:rsid w:val="524E54BD"/>
    <w:rsid w:val="5257696B"/>
    <w:rsid w:val="525D4BC4"/>
    <w:rsid w:val="52612620"/>
    <w:rsid w:val="526325FA"/>
    <w:rsid w:val="526478E1"/>
    <w:rsid w:val="526A1A2F"/>
    <w:rsid w:val="526A546C"/>
    <w:rsid w:val="52747EDD"/>
    <w:rsid w:val="52790FD9"/>
    <w:rsid w:val="52887A7D"/>
    <w:rsid w:val="52894DE6"/>
    <w:rsid w:val="528C5E23"/>
    <w:rsid w:val="528D1034"/>
    <w:rsid w:val="52993DA6"/>
    <w:rsid w:val="529B5EE8"/>
    <w:rsid w:val="529F0D9B"/>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F38E3"/>
    <w:rsid w:val="542A1803"/>
    <w:rsid w:val="542A3FEF"/>
    <w:rsid w:val="542A5504"/>
    <w:rsid w:val="542E3CFF"/>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42800"/>
    <w:rsid w:val="54B61DA8"/>
    <w:rsid w:val="54B62C99"/>
    <w:rsid w:val="54BC1CEB"/>
    <w:rsid w:val="54CC175C"/>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1B7A03"/>
    <w:rsid w:val="5621112A"/>
    <w:rsid w:val="56214A7B"/>
    <w:rsid w:val="562E1F9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4B2B"/>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7012351"/>
    <w:rsid w:val="57026867"/>
    <w:rsid w:val="57095761"/>
    <w:rsid w:val="570A13B6"/>
    <w:rsid w:val="571777C3"/>
    <w:rsid w:val="571B1F7E"/>
    <w:rsid w:val="571D34AC"/>
    <w:rsid w:val="571F270E"/>
    <w:rsid w:val="571F380E"/>
    <w:rsid w:val="57284B98"/>
    <w:rsid w:val="57292292"/>
    <w:rsid w:val="572E4793"/>
    <w:rsid w:val="572E7E52"/>
    <w:rsid w:val="57315E6B"/>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37B5F"/>
    <w:rsid w:val="5AB96041"/>
    <w:rsid w:val="5ABC4831"/>
    <w:rsid w:val="5ABC6BFA"/>
    <w:rsid w:val="5ABF01E8"/>
    <w:rsid w:val="5ABF6C57"/>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63A4F"/>
    <w:rsid w:val="5C087355"/>
    <w:rsid w:val="5C0C52E3"/>
    <w:rsid w:val="5C0C750E"/>
    <w:rsid w:val="5C0C796E"/>
    <w:rsid w:val="5C0E435F"/>
    <w:rsid w:val="5C135532"/>
    <w:rsid w:val="5C1832F4"/>
    <w:rsid w:val="5C185468"/>
    <w:rsid w:val="5C1A3044"/>
    <w:rsid w:val="5C1D0C0F"/>
    <w:rsid w:val="5C2218F7"/>
    <w:rsid w:val="5C3B2DCF"/>
    <w:rsid w:val="5C474C2E"/>
    <w:rsid w:val="5C494C6D"/>
    <w:rsid w:val="5C500AF8"/>
    <w:rsid w:val="5C517866"/>
    <w:rsid w:val="5C523483"/>
    <w:rsid w:val="5C5348B4"/>
    <w:rsid w:val="5C5E033F"/>
    <w:rsid w:val="5C6875EE"/>
    <w:rsid w:val="5C6B21CA"/>
    <w:rsid w:val="5C6F12DC"/>
    <w:rsid w:val="5C747C7C"/>
    <w:rsid w:val="5C7A2919"/>
    <w:rsid w:val="5C84202F"/>
    <w:rsid w:val="5C8A56BD"/>
    <w:rsid w:val="5C8F19C2"/>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97BC5"/>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360B2"/>
    <w:rsid w:val="5DE44DF4"/>
    <w:rsid w:val="5DED4540"/>
    <w:rsid w:val="5E00720B"/>
    <w:rsid w:val="5E012896"/>
    <w:rsid w:val="5E0825B2"/>
    <w:rsid w:val="5E0A6049"/>
    <w:rsid w:val="5E156B70"/>
    <w:rsid w:val="5E1574AD"/>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125B6"/>
    <w:rsid w:val="5EA36A9B"/>
    <w:rsid w:val="5EA42C37"/>
    <w:rsid w:val="5EA648E2"/>
    <w:rsid w:val="5EA71C01"/>
    <w:rsid w:val="5EB24CFE"/>
    <w:rsid w:val="5EB32415"/>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1E89"/>
    <w:rsid w:val="60143AD3"/>
    <w:rsid w:val="60281FCD"/>
    <w:rsid w:val="602876AC"/>
    <w:rsid w:val="602A2F80"/>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1635"/>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A118D"/>
    <w:rsid w:val="639B7C08"/>
    <w:rsid w:val="63A13147"/>
    <w:rsid w:val="63A2005F"/>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93F02"/>
    <w:rsid w:val="64DC7C04"/>
    <w:rsid w:val="64DF1E48"/>
    <w:rsid w:val="64E52880"/>
    <w:rsid w:val="64E5543E"/>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A261B"/>
    <w:rsid w:val="659C17EE"/>
    <w:rsid w:val="65A65E7D"/>
    <w:rsid w:val="65AA2B3B"/>
    <w:rsid w:val="65B408AD"/>
    <w:rsid w:val="65BC6E17"/>
    <w:rsid w:val="65BD3777"/>
    <w:rsid w:val="65BE5ECC"/>
    <w:rsid w:val="65D43869"/>
    <w:rsid w:val="65D64BB3"/>
    <w:rsid w:val="65D70270"/>
    <w:rsid w:val="65E91B08"/>
    <w:rsid w:val="65F2016B"/>
    <w:rsid w:val="65F5725F"/>
    <w:rsid w:val="66032E7B"/>
    <w:rsid w:val="66053581"/>
    <w:rsid w:val="6609517F"/>
    <w:rsid w:val="660A19B0"/>
    <w:rsid w:val="660B3A10"/>
    <w:rsid w:val="661026AA"/>
    <w:rsid w:val="661207AA"/>
    <w:rsid w:val="661635F6"/>
    <w:rsid w:val="661D3F49"/>
    <w:rsid w:val="66213A5C"/>
    <w:rsid w:val="6624683A"/>
    <w:rsid w:val="662D2EA4"/>
    <w:rsid w:val="662F2BB7"/>
    <w:rsid w:val="6631571B"/>
    <w:rsid w:val="663D054E"/>
    <w:rsid w:val="66460692"/>
    <w:rsid w:val="6658158E"/>
    <w:rsid w:val="66631FDD"/>
    <w:rsid w:val="66634E10"/>
    <w:rsid w:val="66727620"/>
    <w:rsid w:val="66763EED"/>
    <w:rsid w:val="66782A0E"/>
    <w:rsid w:val="667930F9"/>
    <w:rsid w:val="6679372B"/>
    <w:rsid w:val="667B3C56"/>
    <w:rsid w:val="667C18AF"/>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B2081"/>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C5312"/>
    <w:rsid w:val="67F0511C"/>
    <w:rsid w:val="67F5522D"/>
    <w:rsid w:val="67F73BC6"/>
    <w:rsid w:val="68033400"/>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24FDB"/>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A144C"/>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990389"/>
    <w:rsid w:val="69992E3D"/>
    <w:rsid w:val="69A71B52"/>
    <w:rsid w:val="69A7770D"/>
    <w:rsid w:val="69A966F8"/>
    <w:rsid w:val="69AC0B64"/>
    <w:rsid w:val="69B27491"/>
    <w:rsid w:val="69B27C94"/>
    <w:rsid w:val="69BA2288"/>
    <w:rsid w:val="69BB7CE2"/>
    <w:rsid w:val="69BF343C"/>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E31AA"/>
    <w:rsid w:val="6A3F4FDB"/>
    <w:rsid w:val="6A4F4F6F"/>
    <w:rsid w:val="6A532FF6"/>
    <w:rsid w:val="6A601C8F"/>
    <w:rsid w:val="6A6A0FDF"/>
    <w:rsid w:val="6A7018EB"/>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57F3A"/>
    <w:rsid w:val="6AF63F29"/>
    <w:rsid w:val="6AFB7DF3"/>
    <w:rsid w:val="6AFE4F30"/>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26ADC"/>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5329A"/>
    <w:rsid w:val="6C666C3C"/>
    <w:rsid w:val="6C6833E1"/>
    <w:rsid w:val="6C726F5A"/>
    <w:rsid w:val="6C751A38"/>
    <w:rsid w:val="6C7707E9"/>
    <w:rsid w:val="6C882F2E"/>
    <w:rsid w:val="6C8E4315"/>
    <w:rsid w:val="6C9360FF"/>
    <w:rsid w:val="6C95615F"/>
    <w:rsid w:val="6CA94419"/>
    <w:rsid w:val="6CB242A2"/>
    <w:rsid w:val="6CB92EE5"/>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DFC2E5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0D763F"/>
    <w:rsid w:val="6F14289F"/>
    <w:rsid w:val="6F153E64"/>
    <w:rsid w:val="6F162C84"/>
    <w:rsid w:val="6F263789"/>
    <w:rsid w:val="6F28474F"/>
    <w:rsid w:val="6F350882"/>
    <w:rsid w:val="6F35635E"/>
    <w:rsid w:val="6F3713E9"/>
    <w:rsid w:val="6F384951"/>
    <w:rsid w:val="6F447F07"/>
    <w:rsid w:val="6F4876AF"/>
    <w:rsid w:val="6F537FC0"/>
    <w:rsid w:val="6F5E3CAA"/>
    <w:rsid w:val="6F607895"/>
    <w:rsid w:val="6F61040C"/>
    <w:rsid w:val="6F6776E1"/>
    <w:rsid w:val="6F6B325C"/>
    <w:rsid w:val="6F702CF5"/>
    <w:rsid w:val="6F714EFF"/>
    <w:rsid w:val="6F7A0C79"/>
    <w:rsid w:val="6F7E1B78"/>
    <w:rsid w:val="6F9A4660"/>
    <w:rsid w:val="6F9C5D71"/>
    <w:rsid w:val="6FA3781E"/>
    <w:rsid w:val="6FA9586A"/>
    <w:rsid w:val="6FAC61CF"/>
    <w:rsid w:val="6FAD768A"/>
    <w:rsid w:val="6FAF5C06"/>
    <w:rsid w:val="6FB32C37"/>
    <w:rsid w:val="6FB415FB"/>
    <w:rsid w:val="6FB51E4A"/>
    <w:rsid w:val="6FB7425E"/>
    <w:rsid w:val="6FB80EE8"/>
    <w:rsid w:val="6FC05652"/>
    <w:rsid w:val="6FC0781E"/>
    <w:rsid w:val="6FD36624"/>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94AF1"/>
    <w:rsid w:val="704A6916"/>
    <w:rsid w:val="7054528E"/>
    <w:rsid w:val="70555B90"/>
    <w:rsid w:val="705E76BE"/>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3868"/>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56B6B"/>
    <w:rsid w:val="729A297B"/>
    <w:rsid w:val="72A13C6B"/>
    <w:rsid w:val="72A310CE"/>
    <w:rsid w:val="72A60BAC"/>
    <w:rsid w:val="72AF09AE"/>
    <w:rsid w:val="72B23B41"/>
    <w:rsid w:val="72B751B8"/>
    <w:rsid w:val="72BE6371"/>
    <w:rsid w:val="72BF0B0B"/>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37A8"/>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44343"/>
    <w:rsid w:val="73CE1997"/>
    <w:rsid w:val="73D260A7"/>
    <w:rsid w:val="73DB12EA"/>
    <w:rsid w:val="73DB45F5"/>
    <w:rsid w:val="73DD28DF"/>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1438C8"/>
    <w:rsid w:val="74215D04"/>
    <w:rsid w:val="74257C35"/>
    <w:rsid w:val="742A0965"/>
    <w:rsid w:val="742D019C"/>
    <w:rsid w:val="742D6DB6"/>
    <w:rsid w:val="742E6655"/>
    <w:rsid w:val="742E74D7"/>
    <w:rsid w:val="744642D9"/>
    <w:rsid w:val="74522D94"/>
    <w:rsid w:val="7467225C"/>
    <w:rsid w:val="746B086B"/>
    <w:rsid w:val="746C430C"/>
    <w:rsid w:val="746D6628"/>
    <w:rsid w:val="74712155"/>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343C8"/>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7469E2"/>
    <w:rsid w:val="76775F0B"/>
    <w:rsid w:val="76790669"/>
    <w:rsid w:val="767E2DAC"/>
    <w:rsid w:val="76894819"/>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0F3562"/>
    <w:rsid w:val="77187F65"/>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D26B27"/>
    <w:rsid w:val="77E568E3"/>
    <w:rsid w:val="77E746B2"/>
    <w:rsid w:val="77EE19D2"/>
    <w:rsid w:val="77EF4577"/>
    <w:rsid w:val="77F62755"/>
    <w:rsid w:val="77F62779"/>
    <w:rsid w:val="77F92249"/>
    <w:rsid w:val="78036043"/>
    <w:rsid w:val="780F6F82"/>
    <w:rsid w:val="781164D0"/>
    <w:rsid w:val="7813374F"/>
    <w:rsid w:val="781838FF"/>
    <w:rsid w:val="781A21DD"/>
    <w:rsid w:val="781B3886"/>
    <w:rsid w:val="78232A2D"/>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64CC0"/>
    <w:rsid w:val="78C67D14"/>
    <w:rsid w:val="78CD3535"/>
    <w:rsid w:val="78D97F0E"/>
    <w:rsid w:val="78DA009A"/>
    <w:rsid w:val="78DC2FA9"/>
    <w:rsid w:val="78DD4939"/>
    <w:rsid w:val="78E062D1"/>
    <w:rsid w:val="78EB1C8F"/>
    <w:rsid w:val="78F277DF"/>
    <w:rsid w:val="78F40C87"/>
    <w:rsid w:val="78F57D87"/>
    <w:rsid w:val="78F60513"/>
    <w:rsid w:val="78F66B5A"/>
    <w:rsid w:val="78FC7FC2"/>
    <w:rsid w:val="79017AED"/>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07C95"/>
    <w:rsid w:val="798C57FA"/>
    <w:rsid w:val="798E4989"/>
    <w:rsid w:val="7990174F"/>
    <w:rsid w:val="799537B4"/>
    <w:rsid w:val="799A4E91"/>
    <w:rsid w:val="79A02BCA"/>
    <w:rsid w:val="79A15149"/>
    <w:rsid w:val="79A37CCA"/>
    <w:rsid w:val="79A71C2E"/>
    <w:rsid w:val="79A74BCA"/>
    <w:rsid w:val="79A75AAF"/>
    <w:rsid w:val="79AE39E9"/>
    <w:rsid w:val="79B47AD2"/>
    <w:rsid w:val="79B57356"/>
    <w:rsid w:val="79BB48AD"/>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B7CF1"/>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E2AB1"/>
    <w:rsid w:val="7B71614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CD6A60"/>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D1C60"/>
    <w:rsid w:val="7C301156"/>
    <w:rsid w:val="7C306953"/>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618F3"/>
    <w:rsid w:val="7F314300"/>
    <w:rsid w:val="7F340461"/>
    <w:rsid w:val="7F35713F"/>
    <w:rsid w:val="7F3757D3"/>
    <w:rsid w:val="7F3A2780"/>
    <w:rsid w:val="7F3A44DE"/>
    <w:rsid w:val="7F3A7611"/>
    <w:rsid w:val="7F3B01C9"/>
    <w:rsid w:val="7F4A17F6"/>
    <w:rsid w:val="7F536DE1"/>
    <w:rsid w:val="7F59077B"/>
    <w:rsid w:val="7F6339F7"/>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Normal Indent"/>
    <w:basedOn w:val="1"/>
    <w:qFormat/>
    <w:uiPriority w:val="0"/>
    <w:rPr>
      <w:szCs w:val="20"/>
    </w:rPr>
  </w:style>
  <w:style w:type="paragraph" w:styleId="13">
    <w:name w:val="caption"/>
    <w:basedOn w:val="1"/>
    <w:next w:val="1"/>
    <w:link w:val="74"/>
    <w:qFormat/>
    <w:uiPriority w:val="0"/>
    <w:pPr>
      <w:widowControl/>
      <w:spacing w:before="152"/>
    </w:pPr>
    <w:rPr>
      <w:rFonts w:ascii="Arial" w:hAnsi="Arial" w:eastAsia="黑体"/>
      <w:kern w:val="0"/>
      <w:sz w:val="20"/>
      <w:szCs w:val="20"/>
    </w:rPr>
  </w:style>
  <w:style w:type="paragraph" w:styleId="14">
    <w:name w:val="Document Map"/>
    <w:basedOn w:val="1"/>
    <w:link w:val="83"/>
    <w:unhideWhenUsed/>
    <w:qFormat/>
    <w:uiPriority w:val="99"/>
    <w:rPr>
      <w:rFonts w:ascii="宋体"/>
      <w:kern w:val="0"/>
      <w:sz w:val="18"/>
      <w:szCs w:val="18"/>
    </w:rPr>
  </w:style>
  <w:style w:type="paragraph" w:styleId="15">
    <w:name w:val="annotation text"/>
    <w:basedOn w:val="1"/>
    <w:link w:val="92"/>
    <w:unhideWhenUsed/>
    <w:qFormat/>
    <w:uiPriority w:val="99"/>
    <w:rPr>
      <w:sz w:val="20"/>
      <w:szCs w:val="20"/>
    </w:rPr>
  </w:style>
  <w:style w:type="paragraph" w:styleId="16">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5"/>
    <w:next w:val="15"/>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3"/>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6"/>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4"/>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5"/>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6"/>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character" w:customStyle="1" w:styleId="104">
    <w:name w:val="Default Paragraph Font 2"/>
    <w:unhideWhenUsed/>
    <w:qFormat/>
    <w:uiPriority w:val="1"/>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21</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2024-02-19T16:27:38Z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